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4821" w14:textId="39F1C224" w:rsidR="0037530B" w:rsidRPr="004E195D" w:rsidRDefault="0078662E" w:rsidP="004E195D">
      <w:pPr>
        <w:pStyle w:val="Header"/>
        <w:ind w:right="630"/>
        <w:rPr>
          <w:rFonts w:cstheme="minorHAnsi"/>
          <w:b/>
          <w:bCs/>
          <w:color w:val="BF8F00" w:themeColor="accent4" w:themeShade="BF"/>
          <w:sz w:val="28"/>
          <w:szCs w:val="28"/>
        </w:rPr>
      </w:pPr>
      <w:bookmarkStart w:id="0" w:name="_GoBack"/>
      <w:bookmarkEnd w:id="0"/>
      <w:r w:rsidRPr="004E195D">
        <w:rPr>
          <w:rFonts w:cstheme="minorHAnsi"/>
          <w:b/>
          <w:bCs/>
          <w:noProof/>
          <w:color w:val="BF8F00" w:themeColor="accent4" w:themeShade="BF"/>
          <w:sz w:val="28"/>
          <w:szCs w:val="28"/>
        </w:rPr>
        <w:drawing>
          <wp:anchor distT="0" distB="0" distL="114300" distR="114300" simplePos="0" relativeHeight="251658240" behindDoc="1" locked="0" layoutInCell="1" allowOverlap="1" wp14:anchorId="428F25A0" wp14:editId="7B5865BD">
            <wp:simplePos x="0" y="0"/>
            <wp:positionH relativeFrom="margin">
              <wp:align>left</wp:align>
            </wp:positionH>
            <wp:positionV relativeFrom="page">
              <wp:posOffset>983615</wp:posOffset>
            </wp:positionV>
            <wp:extent cx="1995170" cy="8794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170" cy="879475"/>
                    </a:xfrm>
                    <a:prstGeom prst="rect">
                      <a:avLst/>
                    </a:prstGeom>
                  </pic:spPr>
                </pic:pic>
              </a:graphicData>
            </a:graphic>
            <wp14:sizeRelH relativeFrom="margin">
              <wp14:pctWidth>0</wp14:pctWidth>
            </wp14:sizeRelH>
            <wp14:sizeRelV relativeFrom="margin">
              <wp14:pctHeight>0</wp14:pctHeight>
            </wp14:sizeRelV>
          </wp:anchor>
        </w:drawing>
      </w:r>
      <w:r w:rsidR="00754CBF" w:rsidRPr="004E195D">
        <w:rPr>
          <w:rFonts w:cstheme="minorHAnsi"/>
          <w:b/>
          <w:bCs/>
          <w:color w:val="BF8F00" w:themeColor="accent4" w:themeShade="BF"/>
          <w:sz w:val="28"/>
          <w:szCs w:val="28"/>
        </w:rPr>
        <w:t>Nuclear Regulatory Commission</w:t>
      </w:r>
    </w:p>
    <w:p w14:paraId="38A8DC94" w14:textId="6EB9AC2C" w:rsidR="00754CBF" w:rsidRDefault="00754CBF" w:rsidP="004E195D">
      <w:pPr>
        <w:pStyle w:val="Header"/>
        <w:ind w:left="2700" w:right="630"/>
        <w:rPr>
          <w:rFonts w:cstheme="minorHAnsi"/>
          <w:b/>
          <w:bCs/>
          <w:color w:val="BF8F00" w:themeColor="accent4" w:themeShade="BF"/>
          <w:sz w:val="28"/>
          <w:szCs w:val="28"/>
        </w:rPr>
      </w:pPr>
      <w:r w:rsidRPr="004E195D">
        <w:rPr>
          <w:rFonts w:cstheme="minorHAnsi"/>
          <w:b/>
          <w:bCs/>
          <w:color w:val="BF8F00" w:themeColor="accent4" w:themeShade="BF"/>
          <w:sz w:val="28"/>
          <w:szCs w:val="28"/>
        </w:rPr>
        <w:t>Regulation Amendments Tracking System Updates</w:t>
      </w:r>
      <w:r w:rsidR="00073B99">
        <w:rPr>
          <w:rFonts w:cstheme="minorHAnsi"/>
          <w:b/>
          <w:bCs/>
          <w:color w:val="BF8F00" w:themeColor="accent4" w:themeShade="BF"/>
          <w:sz w:val="28"/>
          <w:szCs w:val="28"/>
        </w:rPr>
        <w:t>:</w:t>
      </w:r>
    </w:p>
    <w:p w14:paraId="11A7D509" w14:textId="32AB3FC1" w:rsidR="00FE27A9" w:rsidRPr="004E195D" w:rsidRDefault="00FE27A9" w:rsidP="004E195D">
      <w:pPr>
        <w:pStyle w:val="Header"/>
        <w:ind w:left="2700" w:right="630"/>
        <w:rPr>
          <w:rFonts w:cstheme="minorHAnsi"/>
          <w:b/>
          <w:bCs/>
          <w:color w:val="BF8F00" w:themeColor="accent4" w:themeShade="BF"/>
          <w:sz w:val="28"/>
          <w:szCs w:val="28"/>
        </w:rPr>
      </w:pPr>
      <w:r>
        <w:rPr>
          <w:rFonts w:cstheme="minorHAnsi"/>
          <w:b/>
          <w:bCs/>
          <w:color w:val="BF8F00" w:themeColor="accent4" w:themeShade="BF"/>
          <w:sz w:val="28"/>
          <w:szCs w:val="28"/>
        </w:rPr>
        <w:t xml:space="preserve">RATS 2018-2, 2018-3, 2019-1, </w:t>
      </w:r>
      <w:r w:rsidR="00073B99">
        <w:rPr>
          <w:rFonts w:cstheme="minorHAnsi"/>
          <w:b/>
          <w:bCs/>
          <w:color w:val="BF8F00" w:themeColor="accent4" w:themeShade="BF"/>
          <w:sz w:val="28"/>
          <w:szCs w:val="28"/>
        </w:rPr>
        <w:t>2019-2 and 2020-1</w:t>
      </w:r>
    </w:p>
    <w:p w14:paraId="1A436232" w14:textId="379582D4" w:rsidR="00830951" w:rsidRPr="002A7D56" w:rsidRDefault="007D413C" w:rsidP="00653B6C">
      <w:pPr>
        <w:spacing w:after="0" w:line="240" w:lineRule="auto"/>
        <w:ind w:left="2700"/>
        <w:rPr>
          <w:rFonts w:cstheme="minorHAnsi"/>
          <w:b/>
          <w:color w:val="BF8F00" w:themeColor="accent4" w:themeShade="BF"/>
          <w:sz w:val="44"/>
          <w:szCs w:val="44"/>
        </w:rPr>
      </w:pPr>
      <w:r w:rsidRPr="002A7D56">
        <w:rPr>
          <w:rFonts w:cstheme="minorHAnsi"/>
          <w:b/>
          <w:color w:val="BF8F00" w:themeColor="accent4" w:themeShade="BF"/>
          <w:sz w:val="44"/>
          <w:szCs w:val="44"/>
        </w:rPr>
        <w:t xml:space="preserve">Federal Register to </w:t>
      </w:r>
      <w:r w:rsidR="00870E70" w:rsidRPr="002A7D56">
        <w:rPr>
          <w:rFonts w:cstheme="minorHAnsi"/>
          <w:b/>
          <w:color w:val="BF8F00" w:themeColor="accent4" w:themeShade="BF"/>
          <w:sz w:val="44"/>
          <w:szCs w:val="44"/>
        </w:rPr>
        <w:t>WAC Crosswalk</w:t>
      </w:r>
    </w:p>
    <w:p w14:paraId="33EAF5F4" w14:textId="77777777" w:rsidR="00AE0B1A" w:rsidRDefault="00AE0B1A" w:rsidP="0003675B">
      <w:pPr>
        <w:pStyle w:val="ListParagraph"/>
        <w:spacing w:after="0" w:line="240" w:lineRule="auto"/>
        <w:ind w:left="2880"/>
        <w:rPr>
          <w:rFonts w:ascii="Segoe UI" w:eastAsia="Times New Roman" w:hAnsi="Segoe UI" w:cs="Segoe UI"/>
          <w:bCs/>
          <w:sz w:val="24"/>
          <w:szCs w:val="24"/>
        </w:rPr>
      </w:pPr>
    </w:p>
    <w:p w14:paraId="3AEC620C" w14:textId="77777777" w:rsidR="00BF7F53" w:rsidRDefault="00BF7F53" w:rsidP="00AE0B1A">
      <w:pPr>
        <w:pStyle w:val="ListParagraph"/>
        <w:spacing w:after="0" w:line="240" w:lineRule="auto"/>
        <w:ind w:left="1440"/>
        <w:rPr>
          <w:rFonts w:ascii="Segoe UI" w:eastAsia="Times New Roman" w:hAnsi="Segoe UI" w:cs="Segoe UI"/>
          <w:bCs/>
          <w:sz w:val="24"/>
          <w:szCs w:val="24"/>
        </w:rPr>
      </w:pPr>
    </w:p>
    <w:p w14:paraId="0C3E49A9" w14:textId="30C9369B" w:rsidR="00147431" w:rsidRPr="00754CBF" w:rsidRDefault="00EC4F8B" w:rsidP="00F943D7">
      <w:pPr>
        <w:pStyle w:val="ListParagraph"/>
        <w:spacing w:after="0" w:line="240" w:lineRule="auto"/>
        <w:ind w:left="90" w:right="540"/>
        <w:rPr>
          <w:rFonts w:ascii="Segoe UI" w:eastAsia="Times New Roman" w:hAnsi="Segoe UI" w:cs="Segoe UI"/>
          <w:bCs/>
          <w:sz w:val="24"/>
          <w:szCs w:val="24"/>
        </w:rPr>
      </w:pPr>
      <w:r>
        <w:rPr>
          <w:rFonts w:ascii="Segoe UI" w:eastAsia="Times New Roman" w:hAnsi="Segoe UI" w:cs="Segoe UI"/>
          <w:bCs/>
          <w:sz w:val="24"/>
          <w:szCs w:val="24"/>
        </w:rPr>
        <w:t xml:space="preserve">The </w:t>
      </w:r>
      <w:r>
        <w:rPr>
          <w:rFonts w:ascii="Segoe UI" w:hAnsi="Segoe UI" w:cs="Segoe UI"/>
          <w:sz w:val="24"/>
          <w:szCs w:val="24"/>
        </w:rPr>
        <w:t xml:space="preserve">Revised Code of Washington (RCW) regulations </w:t>
      </w:r>
      <w:hyperlink r:id="rId8" w:history="1">
        <w:r>
          <w:rPr>
            <w:rStyle w:val="Hyperlink"/>
            <w:rFonts w:ascii="Segoe UI" w:hAnsi="Segoe UI" w:cs="Segoe UI"/>
            <w:sz w:val="24"/>
            <w:szCs w:val="24"/>
          </w:rPr>
          <w:t>70A.388.040</w:t>
        </w:r>
      </w:hyperlink>
      <w:r>
        <w:rPr>
          <w:rFonts w:ascii="Segoe UI" w:hAnsi="Segoe UI" w:cs="Segoe UI"/>
          <w:sz w:val="24"/>
          <w:szCs w:val="24"/>
        </w:rPr>
        <w:t xml:space="preserve"> </w:t>
      </w:r>
      <w:r w:rsidRPr="008C1665">
        <w:rPr>
          <w:rFonts w:ascii="Segoe UI" w:hAnsi="Segoe UI" w:cs="Segoe UI"/>
          <w:sz w:val="24"/>
          <w:szCs w:val="24"/>
        </w:rPr>
        <w:t xml:space="preserve">and </w:t>
      </w:r>
      <w:hyperlink r:id="rId9" w:history="1">
        <w:r w:rsidRPr="00DC56A3">
          <w:rPr>
            <w:rStyle w:val="Hyperlink"/>
            <w:rFonts w:ascii="Segoe UI" w:hAnsi="Segoe UI" w:cs="Segoe UI"/>
            <w:sz w:val="24"/>
            <w:szCs w:val="24"/>
          </w:rPr>
          <w:t>70A.388.110</w:t>
        </w:r>
      </w:hyperlink>
      <w:r w:rsidR="002C1EFE">
        <w:rPr>
          <w:rFonts w:ascii="Segoe UI" w:hAnsi="Segoe UI" w:cs="Segoe UI"/>
          <w:sz w:val="24"/>
          <w:szCs w:val="24"/>
        </w:rPr>
        <w:t>,</w:t>
      </w:r>
      <w:r w:rsidR="00926DC4">
        <w:rPr>
          <w:rFonts w:ascii="Segoe UI" w:hAnsi="Segoe UI" w:cs="Segoe UI"/>
          <w:sz w:val="24"/>
          <w:szCs w:val="24"/>
        </w:rPr>
        <w:t xml:space="preserve"> require that</w:t>
      </w:r>
      <w:r>
        <w:rPr>
          <w:rFonts w:ascii="Segoe UI" w:hAnsi="Segoe UI" w:cs="Segoe UI"/>
          <w:sz w:val="24"/>
          <w:szCs w:val="24"/>
        </w:rPr>
        <w:t xml:space="preserve"> the Department of Health</w:t>
      </w:r>
      <w:r w:rsidR="005E294A">
        <w:rPr>
          <w:rFonts w:ascii="Segoe UI" w:hAnsi="Segoe UI" w:cs="Segoe UI"/>
          <w:sz w:val="24"/>
          <w:szCs w:val="24"/>
        </w:rPr>
        <w:t>’s</w:t>
      </w:r>
      <w:r>
        <w:rPr>
          <w:rFonts w:ascii="Segoe UI" w:hAnsi="Segoe UI" w:cs="Segoe UI"/>
          <w:sz w:val="24"/>
          <w:szCs w:val="24"/>
        </w:rPr>
        <w:t xml:space="preserve"> (department) </w:t>
      </w:r>
      <w:r w:rsidR="003642CD">
        <w:rPr>
          <w:rFonts w:ascii="Segoe UI" w:eastAsia="Times New Roman" w:hAnsi="Segoe UI" w:cs="Segoe UI"/>
          <w:bCs/>
          <w:sz w:val="24"/>
          <w:szCs w:val="24"/>
        </w:rPr>
        <w:t xml:space="preserve">Washington Administrative Codes (WAC) </w:t>
      </w:r>
      <w:r w:rsidRPr="00AA0B78">
        <w:rPr>
          <w:rFonts w:ascii="Segoe UI" w:hAnsi="Segoe UI" w:cs="Segoe UI"/>
          <w:sz w:val="24"/>
          <w:szCs w:val="24"/>
        </w:rPr>
        <w:t xml:space="preserve">remain compatible with </w:t>
      </w:r>
      <w:r>
        <w:rPr>
          <w:rFonts w:ascii="Segoe UI" w:hAnsi="Segoe UI" w:cs="Segoe UI"/>
          <w:sz w:val="24"/>
          <w:szCs w:val="24"/>
        </w:rPr>
        <w:t xml:space="preserve">the </w:t>
      </w:r>
      <w:r w:rsidRPr="00AA0B78">
        <w:rPr>
          <w:rFonts w:ascii="Segoe UI" w:hAnsi="Segoe UI" w:cs="Segoe UI"/>
          <w:sz w:val="24"/>
          <w:szCs w:val="24"/>
        </w:rPr>
        <w:t>N</w:t>
      </w:r>
      <w:r>
        <w:rPr>
          <w:rFonts w:ascii="Segoe UI" w:hAnsi="Segoe UI" w:cs="Segoe UI"/>
          <w:sz w:val="24"/>
          <w:szCs w:val="24"/>
        </w:rPr>
        <w:t xml:space="preserve">uclear </w:t>
      </w:r>
      <w:r w:rsidRPr="00AA0B78">
        <w:rPr>
          <w:rFonts w:ascii="Segoe UI" w:hAnsi="Segoe UI" w:cs="Segoe UI"/>
          <w:sz w:val="24"/>
          <w:szCs w:val="24"/>
        </w:rPr>
        <w:t>R</w:t>
      </w:r>
      <w:r>
        <w:rPr>
          <w:rFonts w:ascii="Segoe UI" w:hAnsi="Segoe UI" w:cs="Segoe UI"/>
          <w:sz w:val="24"/>
          <w:szCs w:val="24"/>
        </w:rPr>
        <w:t xml:space="preserve">egulatory </w:t>
      </w:r>
      <w:r w:rsidRPr="00AA0B78">
        <w:rPr>
          <w:rFonts w:ascii="Segoe UI" w:hAnsi="Segoe UI" w:cs="Segoe UI"/>
          <w:sz w:val="24"/>
          <w:szCs w:val="24"/>
        </w:rPr>
        <w:t>C</w:t>
      </w:r>
      <w:r>
        <w:rPr>
          <w:rFonts w:ascii="Segoe UI" w:hAnsi="Segoe UI" w:cs="Segoe UI"/>
          <w:sz w:val="24"/>
          <w:szCs w:val="24"/>
        </w:rPr>
        <w:t>ommission (NRC)</w:t>
      </w:r>
      <w:r w:rsidRPr="00AA0B78">
        <w:rPr>
          <w:rFonts w:ascii="Segoe UI" w:hAnsi="Segoe UI" w:cs="Segoe UI"/>
          <w:sz w:val="24"/>
          <w:szCs w:val="24"/>
        </w:rPr>
        <w:t xml:space="preserve"> rules</w:t>
      </w:r>
      <w:r>
        <w:rPr>
          <w:rFonts w:ascii="Segoe UI" w:hAnsi="Segoe UI" w:cs="Segoe UI"/>
          <w:sz w:val="24"/>
          <w:szCs w:val="24"/>
        </w:rPr>
        <w:t xml:space="preserve"> and </w:t>
      </w:r>
      <w:r w:rsidR="00030019">
        <w:rPr>
          <w:rFonts w:ascii="Segoe UI" w:hAnsi="Segoe UI" w:cs="Segoe UI"/>
          <w:sz w:val="24"/>
          <w:szCs w:val="24"/>
        </w:rPr>
        <w:t xml:space="preserve">that the </w:t>
      </w:r>
      <w:r w:rsidR="005E294A">
        <w:rPr>
          <w:rFonts w:ascii="Segoe UI" w:hAnsi="Segoe UI" w:cs="Segoe UI"/>
          <w:sz w:val="24"/>
          <w:szCs w:val="24"/>
        </w:rPr>
        <w:t>department’s</w:t>
      </w:r>
      <w:r w:rsidR="00030019">
        <w:rPr>
          <w:rFonts w:ascii="Segoe UI" w:hAnsi="Segoe UI" w:cs="Segoe UI"/>
          <w:sz w:val="24"/>
          <w:szCs w:val="24"/>
        </w:rPr>
        <w:t xml:space="preserve"> WAC </w:t>
      </w:r>
      <w:r w:rsidR="00CE4EBB">
        <w:rPr>
          <w:rFonts w:ascii="Segoe UI" w:hAnsi="Segoe UI" w:cs="Segoe UI"/>
          <w:sz w:val="24"/>
          <w:szCs w:val="24"/>
        </w:rPr>
        <w:t xml:space="preserve">are </w:t>
      </w:r>
      <w:r>
        <w:rPr>
          <w:rFonts w:ascii="Segoe UI" w:hAnsi="Segoe UI" w:cs="Segoe UI"/>
          <w:sz w:val="24"/>
          <w:szCs w:val="24"/>
        </w:rPr>
        <w:t>revise</w:t>
      </w:r>
      <w:r w:rsidR="00CE4EBB">
        <w:rPr>
          <w:rFonts w:ascii="Segoe UI" w:hAnsi="Segoe UI" w:cs="Segoe UI"/>
          <w:sz w:val="24"/>
          <w:szCs w:val="24"/>
        </w:rPr>
        <w:t>d</w:t>
      </w:r>
      <w:r w:rsidR="00CC7217">
        <w:rPr>
          <w:rFonts w:ascii="Segoe UI" w:hAnsi="Segoe UI" w:cs="Segoe UI"/>
          <w:sz w:val="24"/>
          <w:szCs w:val="24"/>
        </w:rPr>
        <w:t xml:space="preserve"> </w:t>
      </w:r>
      <w:r>
        <w:rPr>
          <w:rFonts w:ascii="Segoe UI" w:hAnsi="Segoe UI" w:cs="Segoe UI"/>
          <w:sz w:val="24"/>
          <w:szCs w:val="24"/>
        </w:rPr>
        <w:t xml:space="preserve">to be at least as stringent </w:t>
      </w:r>
      <w:r w:rsidR="00B92EE5">
        <w:rPr>
          <w:rFonts w:ascii="Segoe UI" w:hAnsi="Segoe UI" w:cs="Segoe UI"/>
          <w:sz w:val="24"/>
          <w:szCs w:val="24"/>
        </w:rPr>
        <w:t xml:space="preserve">as NRC rules.  </w:t>
      </w:r>
      <w:r w:rsidR="00754CBF">
        <w:rPr>
          <w:rFonts w:ascii="Segoe UI" w:eastAsia="Times New Roman" w:hAnsi="Segoe UI" w:cs="Segoe UI"/>
          <w:bCs/>
          <w:sz w:val="24"/>
          <w:szCs w:val="24"/>
        </w:rPr>
        <w:t xml:space="preserve">When the </w:t>
      </w:r>
      <w:r w:rsidR="00D83F9C">
        <w:rPr>
          <w:rFonts w:ascii="Segoe UI" w:eastAsia="Times New Roman" w:hAnsi="Segoe UI" w:cs="Segoe UI"/>
          <w:bCs/>
          <w:sz w:val="24"/>
          <w:szCs w:val="24"/>
        </w:rPr>
        <w:t>NRC</w:t>
      </w:r>
      <w:r w:rsidR="00A33777">
        <w:rPr>
          <w:rFonts w:ascii="Segoe UI" w:eastAsia="Times New Roman" w:hAnsi="Segoe UI" w:cs="Segoe UI"/>
          <w:bCs/>
          <w:sz w:val="24"/>
          <w:szCs w:val="24"/>
        </w:rPr>
        <w:t xml:space="preserve"> updates</w:t>
      </w:r>
      <w:r w:rsidR="00E1792A">
        <w:rPr>
          <w:rFonts w:ascii="Segoe UI" w:eastAsia="Times New Roman" w:hAnsi="Segoe UI" w:cs="Segoe UI"/>
          <w:bCs/>
          <w:sz w:val="24"/>
          <w:szCs w:val="24"/>
        </w:rPr>
        <w:t xml:space="preserve"> </w:t>
      </w:r>
      <w:r w:rsidR="000A0C56">
        <w:rPr>
          <w:rFonts w:ascii="Segoe UI" w:eastAsia="Times New Roman" w:hAnsi="Segoe UI" w:cs="Segoe UI"/>
          <w:bCs/>
          <w:sz w:val="24"/>
          <w:szCs w:val="24"/>
        </w:rPr>
        <w:t xml:space="preserve">Title </w:t>
      </w:r>
      <w:r w:rsidR="004E195D">
        <w:rPr>
          <w:rFonts w:ascii="Segoe UI" w:eastAsia="Times New Roman" w:hAnsi="Segoe UI" w:cs="Segoe UI"/>
          <w:bCs/>
          <w:sz w:val="24"/>
          <w:szCs w:val="24"/>
        </w:rPr>
        <w:t>10</w:t>
      </w:r>
      <w:r w:rsidR="00065A5A">
        <w:rPr>
          <w:rFonts w:ascii="Segoe UI" w:eastAsia="Times New Roman" w:hAnsi="Segoe UI" w:cs="Segoe UI"/>
          <w:bCs/>
          <w:sz w:val="24"/>
          <w:szCs w:val="24"/>
        </w:rPr>
        <w:t xml:space="preserve"> </w:t>
      </w:r>
      <w:r w:rsidR="004E195D">
        <w:rPr>
          <w:rFonts w:ascii="Segoe UI" w:eastAsia="Times New Roman" w:hAnsi="Segoe UI" w:cs="Segoe UI"/>
          <w:bCs/>
          <w:sz w:val="24"/>
          <w:szCs w:val="24"/>
        </w:rPr>
        <w:t>of the Code of Federal Regulations</w:t>
      </w:r>
      <w:r w:rsidR="00A076BD">
        <w:rPr>
          <w:rFonts w:ascii="Segoe UI" w:eastAsia="Times New Roman" w:hAnsi="Segoe UI" w:cs="Segoe UI"/>
          <w:bCs/>
          <w:sz w:val="24"/>
          <w:szCs w:val="24"/>
        </w:rPr>
        <w:t xml:space="preserve"> (10 CFR)</w:t>
      </w:r>
      <w:r w:rsidR="00B6251E">
        <w:rPr>
          <w:rFonts w:ascii="Segoe UI" w:eastAsia="Times New Roman" w:hAnsi="Segoe UI" w:cs="Segoe UI"/>
          <w:bCs/>
          <w:sz w:val="24"/>
          <w:szCs w:val="24"/>
        </w:rPr>
        <w:t>,</w:t>
      </w:r>
      <w:r w:rsidR="00E1792A">
        <w:rPr>
          <w:rFonts w:ascii="Segoe UI" w:eastAsia="Times New Roman" w:hAnsi="Segoe UI" w:cs="Segoe UI"/>
          <w:bCs/>
          <w:sz w:val="24"/>
          <w:szCs w:val="24"/>
        </w:rPr>
        <w:t xml:space="preserve"> t</w:t>
      </w:r>
      <w:r w:rsidR="00DE31EF">
        <w:rPr>
          <w:rFonts w:ascii="Segoe UI" w:eastAsia="Times New Roman" w:hAnsi="Segoe UI" w:cs="Segoe UI"/>
          <w:bCs/>
          <w:sz w:val="24"/>
          <w:szCs w:val="24"/>
        </w:rPr>
        <w:t xml:space="preserve">he changes are summarized </w:t>
      </w:r>
      <w:r w:rsidR="00D15856">
        <w:rPr>
          <w:rFonts w:ascii="Segoe UI" w:eastAsia="Times New Roman" w:hAnsi="Segoe UI" w:cs="Segoe UI"/>
          <w:bCs/>
          <w:sz w:val="24"/>
          <w:szCs w:val="24"/>
        </w:rPr>
        <w:t xml:space="preserve">and </w:t>
      </w:r>
      <w:r w:rsidR="00F943D7">
        <w:rPr>
          <w:rFonts w:ascii="Segoe UI" w:eastAsia="Times New Roman" w:hAnsi="Segoe UI" w:cs="Segoe UI"/>
          <w:bCs/>
          <w:sz w:val="24"/>
          <w:szCs w:val="24"/>
        </w:rPr>
        <w:t>published in the Regulation Amendments Tracking System</w:t>
      </w:r>
      <w:r w:rsidR="00AD4942">
        <w:rPr>
          <w:rFonts w:ascii="Segoe UI" w:eastAsia="Times New Roman" w:hAnsi="Segoe UI" w:cs="Segoe UI"/>
          <w:bCs/>
          <w:sz w:val="24"/>
          <w:szCs w:val="24"/>
        </w:rPr>
        <w:t xml:space="preserve"> (RATS) by assigned RATS number</w:t>
      </w:r>
      <w:r w:rsidR="00987397">
        <w:rPr>
          <w:rFonts w:ascii="Segoe UI" w:eastAsia="Times New Roman" w:hAnsi="Segoe UI" w:cs="Segoe UI"/>
          <w:bCs/>
          <w:sz w:val="24"/>
          <w:szCs w:val="24"/>
        </w:rPr>
        <w:t xml:space="preserve">.  The </w:t>
      </w:r>
      <w:r w:rsidR="0009589F">
        <w:rPr>
          <w:rFonts w:ascii="Segoe UI" w:eastAsia="Times New Roman" w:hAnsi="Segoe UI" w:cs="Segoe UI"/>
          <w:bCs/>
          <w:sz w:val="24"/>
          <w:szCs w:val="24"/>
        </w:rPr>
        <w:t xml:space="preserve">amendments made </w:t>
      </w:r>
      <w:r w:rsidR="007E43AB">
        <w:rPr>
          <w:rFonts w:ascii="Segoe UI" w:eastAsia="Times New Roman" w:hAnsi="Segoe UI" w:cs="Segoe UI"/>
          <w:bCs/>
          <w:sz w:val="24"/>
          <w:szCs w:val="24"/>
        </w:rPr>
        <w:t xml:space="preserve">to </w:t>
      </w:r>
      <w:r w:rsidR="009E6186">
        <w:rPr>
          <w:rFonts w:ascii="Segoe UI" w:eastAsia="Times New Roman" w:hAnsi="Segoe UI" w:cs="Segoe UI"/>
          <w:bCs/>
          <w:sz w:val="24"/>
          <w:szCs w:val="24"/>
        </w:rPr>
        <w:t xml:space="preserve">(WAC) 246-231, </w:t>
      </w:r>
      <w:r w:rsidR="00497B21">
        <w:rPr>
          <w:rFonts w:ascii="Segoe UI" w:eastAsia="Times New Roman" w:hAnsi="Segoe UI" w:cs="Segoe UI"/>
          <w:bCs/>
          <w:sz w:val="24"/>
          <w:szCs w:val="24"/>
        </w:rPr>
        <w:t>246-23</w:t>
      </w:r>
      <w:r w:rsidR="00172F8C">
        <w:rPr>
          <w:rFonts w:ascii="Segoe UI" w:eastAsia="Times New Roman" w:hAnsi="Segoe UI" w:cs="Segoe UI"/>
          <w:bCs/>
          <w:sz w:val="24"/>
          <w:szCs w:val="24"/>
        </w:rPr>
        <w:t xml:space="preserve">6, 246-237, </w:t>
      </w:r>
      <w:r w:rsidR="005A73CD">
        <w:rPr>
          <w:rFonts w:ascii="Segoe UI" w:eastAsia="Times New Roman" w:hAnsi="Segoe UI" w:cs="Segoe UI"/>
          <w:bCs/>
          <w:sz w:val="24"/>
          <w:szCs w:val="24"/>
        </w:rPr>
        <w:t>246-24</w:t>
      </w:r>
      <w:r w:rsidR="00C24B65">
        <w:rPr>
          <w:rFonts w:ascii="Segoe UI" w:eastAsia="Times New Roman" w:hAnsi="Segoe UI" w:cs="Segoe UI"/>
          <w:bCs/>
          <w:sz w:val="24"/>
          <w:szCs w:val="24"/>
        </w:rPr>
        <w:t>3 and 246-244</w:t>
      </w:r>
      <w:r w:rsidR="00497B21">
        <w:rPr>
          <w:rFonts w:ascii="Segoe UI" w:eastAsia="Times New Roman" w:hAnsi="Segoe UI" w:cs="Segoe UI"/>
          <w:bCs/>
          <w:sz w:val="24"/>
          <w:szCs w:val="24"/>
        </w:rPr>
        <w:t xml:space="preserve"> </w:t>
      </w:r>
      <w:r w:rsidR="00AC0592">
        <w:rPr>
          <w:rFonts w:ascii="Segoe UI" w:eastAsia="Times New Roman" w:hAnsi="Segoe UI" w:cs="Segoe UI"/>
          <w:bCs/>
          <w:sz w:val="24"/>
          <w:szCs w:val="24"/>
        </w:rPr>
        <w:t xml:space="preserve">were in </w:t>
      </w:r>
      <w:r w:rsidR="00221510">
        <w:rPr>
          <w:rFonts w:ascii="Segoe UI" w:eastAsia="Times New Roman" w:hAnsi="Segoe UI" w:cs="Segoe UI"/>
          <w:bCs/>
          <w:sz w:val="24"/>
          <w:szCs w:val="24"/>
        </w:rPr>
        <w:t xml:space="preserve">response to </w:t>
      </w:r>
      <w:r w:rsidR="000D7EAE">
        <w:rPr>
          <w:rFonts w:ascii="Segoe UI" w:eastAsia="Times New Roman" w:hAnsi="Segoe UI" w:cs="Segoe UI"/>
          <w:bCs/>
          <w:sz w:val="24"/>
          <w:szCs w:val="24"/>
        </w:rPr>
        <w:t xml:space="preserve">the </w:t>
      </w:r>
      <w:r w:rsidR="00977F0E">
        <w:rPr>
          <w:rFonts w:ascii="Segoe UI" w:eastAsia="Times New Roman" w:hAnsi="Segoe UI" w:cs="Segoe UI"/>
          <w:bCs/>
          <w:sz w:val="24"/>
          <w:szCs w:val="24"/>
        </w:rPr>
        <w:t>updates that NRC made to</w:t>
      </w:r>
      <w:r w:rsidR="00A076BD">
        <w:rPr>
          <w:rFonts w:ascii="Segoe UI" w:eastAsia="Times New Roman" w:hAnsi="Segoe UI" w:cs="Segoe UI"/>
          <w:bCs/>
          <w:sz w:val="24"/>
          <w:szCs w:val="24"/>
        </w:rPr>
        <w:t xml:space="preserve"> 10 CFR</w:t>
      </w:r>
      <w:r w:rsidR="001B328D">
        <w:rPr>
          <w:rFonts w:ascii="Segoe UI" w:eastAsia="Times New Roman" w:hAnsi="Segoe UI" w:cs="Segoe UI"/>
          <w:bCs/>
          <w:sz w:val="24"/>
          <w:szCs w:val="24"/>
        </w:rPr>
        <w:t xml:space="preserve"> </w:t>
      </w:r>
      <w:r w:rsidR="003C1387">
        <w:rPr>
          <w:rFonts w:ascii="Segoe UI" w:eastAsia="Times New Roman" w:hAnsi="Segoe UI" w:cs="Segoe UI"/>
          <w:bCs/>
          <w:sz w:val="24"/>
          <w:szCs w:val="24"/>
        </w:rPr>
        <w:t xml:space="preserve">that were </w:t>
      </w:r>
      <w:r w:rsidR="00C9182B">
        <w:rPr>
          <w:rFonts w:ascii="Segoe UI" w:eastAsia="Times New Roman" w:hAnsi="Segoe UI" w:cs="Segoe UI"/>
          <w:bCs/>
          <w:sz w:val="24"/>
          <w:szCs w:val="24"/>
        </w:rPr>
        <w:t xml:space="preserve">finalized </w:t>
      </w:r>
      <w:r w:rsidR="00C36ABF">
        <w:rPr>
          <w:rFonts w:ascii="Segoe UI" w:eastAsia="Times New Roman" w:hAnsi="Segoe UI" w:cs="Segoe UI"/>
          <w:bCs/>
          <w:sz w:val="24"/>
          <w:szCs w:val="24"/>
        </w:rPr>
        <w:t xml:space="preserve">from </w:t>
      </w:r>
      <w:r w:rsidR="00055E84">
        <w:rPr>
          <w:rFonts w:ascii="Segoe UI" w:eastAsia="Times New Roman" w:hAnsi="Segoe UI" w:cs="Segoe UI"/>
          <w:bCs/>
          <w:sz w:val="24"/>
          <w:szCs w:val="24"/>
        </w:rPr>
        <w:t xml:space="preserve">July 2018 through </w:t>
      </w:r>
      <w:r w:rsidR="006D4D01">
        <w:rPr>
          <w:rFonts w:ascii="Segoe UI" w:eastAsia="Times New Roman" w:hAnsi="Segoe UI" w:cs="Segoe UI"/>
          <w:bCs/>
          <w:sz w:val="24"/>
          <w:szCs w:val="24"/>
        </w:rPr>
        <w:t>June 2020</w:t>
      </w:r>
      <w:r w:rsidR="003C1387">
        <w:rPr>
          <w:rFonts w:ascii="Segoe UI" w:eastAsia="Times New Roman" w:hAnsi="Segoe UI" w:cs="Segoe UI"/>
          <w:bCs/>
          <w:sz w:val="24"/>
          <w:szCs w:val="24"/>
        </w:rPr>
        <w:t xml:space="preserve"> and summarized below:</w:t>
      </w:r>
    </w:p>
    <w:p w14:paraId="6FB07EBA" w14:textId="7B7791A2" w:rsidR="00B94380" w:rsidRPr="0040430A" w:rsidRDefault="00B94380" w:rsidP="006D1165">
      <w:pPr>
        <w:pStyle w:val="ListParagraph"/>
        <w:spacing w:after="0" w:line="240" w:lineRule="auto"/>
        <w:rPr>
          <w:rFonts w:ascii="Times New Roman" w:eastAsia="Times New Roman" w:hAnsi="Times New Roman" w:cs="Times New Roman"/>
          <w:bCs/>
          <w:sz w:val="24"/>
          <w:szCs w:val="24"/>
        </w:rPr>
      </w:pPr>
    </w:p>
    <w:tbl>
      <w:tblPr>
        <w:tblW w:w="10260" w:type="dxa"/>
        <w:tblInd w:w="-2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50"/>
        <w:gridCol w:w="2700"/>
        <w:gridCol w:w="5310"/>
      </w:tblGrid>
      <w:tr w:rsidR="007E0227" w:rsidRPr="0040430A" w14:paraId="6CEBFBBB" w14:textId="77777777" w:rsidTr="005F4D04">
        <w:trPr>
          <w:trHeight w:val="684"/>
          <w:tblHeader/>
        </w:trPr>
        <w:tc>
          <w:tcPr>
            <w:tcW w:w="2250" w:type="dxa"/>
            <w:tcBorders>
              <w:top w:val="double" w:sz="6" w:space="0" w:color="000000"/>
              <w:bottom w:val="double" w:sz="6" w:space="0" w:color="000000"/>
            </w:tcBorders>
            <w:shd w:val="clear" w:color="auto" w:fill="FFE599" w:themeFill="accent4" w:themeFillTint="66"/>
            <w:vAlign w:val="center"/>
          </w:tcPr>
          <w:p w14:paraId="576FCFFC" w14:textId="77777777" w:rsidR="007E0227" w:rsidRPr="0040430A" w:rsidRDefault="007E0227" w:rsidP="007E0227">
            <w:pPr>
              <w:tabs>
                <w:tab w:val="center" w:pos="465"/>
              </w:tabs>
              <w:spacing w:after="0" w:line="240" w:lineRule="auto"/>
              <w:jc w:val="center"/>
              <w:rPr>
                <w:rFonts w:ascii="Segoe UI" w:hAnsi="Segoe UI" w:cs="Segoe UI"/>
                <w:b/>
                <w:bCs/>
                <w:sz w:val="24"/>
                <w:szCs w:val="24"/>
              </w:rPr>
            </w:pPr>
          </w:p>
          <w:p w14:paraId="778AD720" w14:textId="70D83AB9" w:rsidR="007E0227" w:rsidRPr="0040430A" w:rsidRDefault="007E0227" w:rsidP="007E0227">
            <w:pPr>
              <w:tabs>
                <w:tab w:val="center" w:pos="465"/>
              </w:tabs>
              <w:spacing w:after="0" w:line="240" w:lineRule="auto"/>
              <w:jc w:val="center"/>
              <w:rPr>
                <w:rFonts w:ascii="Segoe UI" w:hAnsi="Segoe UI" w:cs="Segoe UI"/>
                <w:b/>
                <w:bCs/>
                <w:sz w:val="24"/>
                <w:szCs w:val="24"/>
              </w:rPr>
            </w:pPr>
            <w:r w:rsidRPr="0040430A">
              <w:rPr>
                <w:rFonts w:ascii="Segoe UI" w:hAnsi="Segoe UI" w:cs="Segoe UI"/>
                <w:b/>
                <w:bCs/>
                <w:sz w:val="24"/>
                <w:szCs w:val="24"/>
              </w:rPr>
              <w:t>WAC Section RATS#</w:t>
            </w:r>
          </w:p>
          <w:p w14:paraId="3251C7AA" w14:textId="02526F70" w:rsidR="007E0227" w:rsidRPr="0040430A" w:rsidRDefault="007E0227" w:rsidP="007E0227">
            <w:pPr>
              <w:tabs>
                <w:tab w:val="center" w:pos="465"/>
              </w:tabs>
              <w:spacing w:after="0" w:line="240" w:lineRule="auto"/>
              <w:jc w:val="center"/>
              <w:rPr>
                <w:rFonts w:ascii="Segoe UI" w:hAnsi="Segoe UI" w:cs="Segoe UI"/>
                <w:b/>
                <w:bCs/>
                <w:sz w:val="24"/>
                <w:szCs w:val="24"/>
              </w:rPr>
            </w:pPr>
            <w:r w:rsidRPr="0040430A">
              <w:rPr>
                <w:rFonts w:ascii="Segoe UI" w:hAnsi="Segoe UI" w:cs="Segoe UI"/>
                <w:b/>
                <w:bCs/>
                <w:sz w:val="24"/>
                <w:szCs w:val="24"/>
              </w:rPr>
              <w:t>Federal Register#</w:t>
            </w:r>
          </w:p>
          <w:p w14:paraId="246BEC00" w14:textId="77777777" w:rsidR="007E0227" w:rsidRPr="0040430A" w:rsidRDefault="007E0227" w:rsidP="007E0227">
            <w:pPr>
              <w:tabs>
                <w:tab w:val="center" w:pos="465"/>
              </w:tabs>
              <w:jc w:val="center"/>
              <w:rPr>
                <w:rFonts w:ascii="Segoe UI" w:hAnsi="Segoe UI" w:cs="Segoe UI"/>
                <w:b/>
                <w:bCs/>
                <w:sz w:val="24"/>
                <w:szCs w:val="24"/>
              </w:rPr>
            </w:pPr>
          </w:p>
        </w:tc>
        <w:tc>
          <w:tcPr>
            <w:tcW w:w="2700" w:type="dxa"/>
            <w:tcBorders>
              <w:top w:val="double" w:sz="6" w:space="0" w:color="000000"/>
              <w:bottom w:val="double" w:sz="6" w:space="0" w:color="000000"/>
            </w:tcBorders>
            <w:shd w:val="clear" w:color="auto" w:fill="FFE599" w:themeFill="accent4" w:themeFillTint="66"/>
            <w:vAlign w:val="center"/>
          </w:tcPr>
          <w:p w14:paraId="348E200E" w14:textId="12B30A19" w:rsidR="007E0227" w:rsidRPr="0040430A" w:rsidRDefault="007E0227" w:rsidP="007E0227">
            <w:pPr>
              <w:tabs>
                <w:tab w:val="center" w:pos="1860"/>
              </w:tabs>
              <w:jc w:val="center"/>
              <w:rPr>
                <w:rFonts w:ascii="Segoe UI" w:hAnsi="Segoe UI" w:cs="Segoe UI"/>
                <w:b/>
                <w:bCs/>
                <w:sz w:val="24"/>
                <w:szCs w:val="24"/>
              </w:rPr>
            </w:pPr>
            <w:r w:rsidRPr="0040430A">
              <w:rPr>
                <w:rFonts w:ascii="Segoe UI" w:hAnsi="Segoe UI" w:cs="Segoe UI"/>
                <w:b/>
                <w:bCs/>
                <w:sz w:val="24"/>
                <w:szCs w:val="24"/>
              </w:rPr>
              <w:t>NRC Section and Title</w:t>
            </w:r>
          </w:p>
        </w:tc>
        <w:tc>
          <w:tcPr>
            <w:tcW w:w="5310" w:type="dxa"/>
            <w:tcBorders>
              <w:top w:val="double" w:sz="6" w:space="0" w:color="000000"/>
              <w:bottom w:val="double" w:sz="6" w:space="0" w:color="000000"/>
            </w:tcBorders>
            <w:shd w:val="clear" w:color="auto" w:fill="FFE599" w:themeFill="accent4" w:themeFillTint="66"/>
            <w:vAlign w:val="center"/>
          </w:tcPr>
          <w:p w14:paraId="5B497BC3" w14:textId="472A15AB" w:rsidR="007E0227" w:rsidRPr="0040430A" w:rsidRDefault="007E0227" w:rsidP="007E0227">
            <w:pPr>
              <w:tabs>
                <w:tab w:val="center" w:pos="1860"/>
              </w:tabs>
              <w:jc w:val="center"/>
              <w:rPr>
                <w:rFonts w:ascii="Segoe UI" w:hAnsi="Segoe UI" w:cs="Segoe UI"/>
                <w:sz w:val="24"/>
                <w:szCs w:val="24"/>
              </w:rPr>
            </w:pPr>
            <w:r w:rsidRPr="0040430A">
              <w:rPr>
                <w:rFonts w:ascii="Segoe UI" w:hAnsi="Segoe UI" w:cs="Segoe UI"/>
                <w:b/>
                <w:bCs/>
                <w:sz w:val="24"/>
                <w:szCs w:val="24"/>
              </w:rPr>
              <w:t>Summary of Change to CFR</w:t>
            </w:r>
          </w:p>
        </w:tc>
      </w:tr>
      <w:tr w:rsidR="007E0227" w:rsidRPr="0040430A" w14:paraId="287D8E59" w14:textId="77777777" w:rsidTr="005F4D04">
        <w:tc>
          <w:tcPr>
            <w:tcW w:w="2250" w:type="dxa"/>
          </w:tcPr>
          <w:p w14:paraId="0E6C5FD1"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WAC 246-231-140 (3)(a) and (6)(a)</w:t>
            </w:r>
          </w:p>
          <w:p w14:paraId="321D94D5"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2018-2</w:t>
            </w:r>
          </w:p>
          <w:p w14:paraId="6EA49D9B" w14:textId="1290589D" w:rsidR="007E0227" w:rsidRPr="0040430A" w:rsidRDefault="007E0227" w:rsidP="007E0227">
            <w:pPr>
              <w:rPr>
                <w:rFonts w:ascii="Segoe UI" w:hAnsi="Segoe UI" w:cs="Segoe UI"/>
                <w:sz w:val="24"/>
                <w:szCs w:val="24"/>
              </w:rPr>
            </w:pPr>
            <w:r w:rsidRPr="0040430A">
              <w:rPr>
                <w:rFonts w:ascii="Segoe UI" w:hAnsi="Segoe UI" w:cs="Segoe UI"/>
                <w:sz w:val="24"/>
                <w:szCs w:val="24"/>
              </w:rPr>
              <w:t>83 FR 58721</w:t>
            </w:r>
          </w:p>
        </w:tc>
        <w:tc>
          <w:tcPr>
            <w:tcW w:w="2700" w:type="dxa"/>
          </w:tcPr>
          <w:p w14:paraId="61AA80A0" w14:textId="799714E4" w:rsidR="007E0227" w:rsidRPr="0040430A" w:rsidRDefault="007E0227" w:rsidP="007E0227">
            <w:pPr>
              <w:rPr>
                <w:rFonts w:ascii="Segoe UI" w:hAnsi="Segoe UI" w:cs="Segoe UI"/>
                <w:sz w:val="24"/>
                <w:szCs w:val="24"/>
              </w:rPr>
            </w:pPr>
            <w:proofErr w:type="gramStart"/>
            <w:r w:rsidRPr="0040430A">
              <w:rPr>
                <w:rFonts w:ascii="Segoe UI" w:hAnsi="Segoe UI" w:cs="Segoe UI"/>
                <w:sz w:val="24"/>
                <w:szCs w:val="24"/>
              </w:rPr>
              <w:t>§  71.97</w:t>
            </w:r>
            <w:proofErr w:type="gramEnd"/>
            <w:r w:rsidRPr="0040430A">
              <w:rPr>
                <w:rFonts w:ascii="Segoe UI" w:hAnsi="Segoe UI" w:cs="Segoe UI"/>
                <w:sz w:val="24"/>
                <w:szCs w:val="24"/>
              </w:rPr>
              <w:t xml:space="preserve"> Advance notification of shipment of irradiated reactor fuel and nuclear waste</w:t>
            </w:r>
          </w:p>
        </w:tc>
        <w:tc>
          <w:tcPr>
            <w:tcW w:w="5310" w:type="dxa"/>
          </w:tcPr>
          <w:p w14:paraId="3C3F247E" w14:textId="030B4032" w:rsidR="007E0227" w:rsidRPr="0040430A" w:rsidRDefault="007E0227" w:rsidP="007E0227">
            <w:pPr>
              <w:rPr>
                <w:rFonts w:ascii="Segoe UI" w:hAnsi="Segoe UI" w:cs="Segoe UI"/>
                <w:b/>
                <w:sz w:val="24"/>
                <w:szCs w:val="24"/>
              </w:rPr>
            </w:pPr>
            <w:r w:rsidRPr="0040430A">
              <w:rPr>
                <w:rFonts w:ascii="Segoe UI" w:hAnsi="Segoe UI" w:cs="Segoe UI"/>
                <w:sz w:val="24"/>
                <w:szCs w:val="24"/>
              </w:rPr>
              <w:t>In § 71.97, wherever it appears, remove the title “Division of Security Policy,”</w:t>
            </w:r>
          </w:p>
          <w:p w14:paraId="5D67BFE0" w14:textId="77777777" w:rsidR="007E0227" w:rsidRPr="0040430A" w:rsidRDefault="007E0227" w:rsidP="007E0227">
            <w:pPr>
              <w:rPr>
                <w:rFonts w:ascii="Segoe UI" w:hAnsi="Segoe UI" w:cs="Segoe UI"/>
                <w:sz w:val="24"/>
                <w:szCs w:val="24"/>
              </w:rPr>
            </w:pPr>
          </w:p>
        </w:tc>
      </w:tr>
      <w:tr w:rsidR="007E0227" w:rsidRPr="0040430A" w14:paraId="765D5348" w14:textId="77777777" w:rsidTr="005F4D04">
        <w:tc>
          <w:tcPr>
            <w:tcW w:w="2250" w:type="dxa"/>
            <w:tcBorders>
              <w:top w:val="single" w:sz="8" w:space="0" w:color="000000"/>
              <w:left w:val="single" w:sz="8" w:space="0" w:color="000000"/>
              <w:bottom w:val="single" w:sz="8" w:space="0" w:color="000000"/>
              <w:right w:val="single" w:sz="8" w:space="0" w:color="000000"/>
            </w:tcBorders>
          </w:tcPr>
          <w:p w14:paraId="40478F86" w14:textId="77777777" w:rsidR="007E0227" w:rsidRPr="0040430A" w:rsidRDefault="007E0227" w:rsidP="007E0227">
            <w:pPr>
              <w:rPr>
                <w:rStyle w:val="Hyperlink"/>
                <w:rFonts w:ascii="Segoe UI" w:hAnsi="Segoe UI" w:cs="Segoe UI"/>
                <w:color w:val="auto"/>
                <w:sz w:val="24"/>
                <w:szCs w:val="24"/>
                <w:u w:val="none"/>
              </w:rPr>
            </w:pPr>
            <w:r w:rsidRPr="0040430A">
              <w:rPr>
                <w:rFonts w:ascii="Segoe UI" w:hAnsi="Segoe UI" w:cs="Segoe UI"/>
                <w:sz w:val="24"/>
                <w:szCs w:val="24"/>
              </w:rPr>
              <w:t>WAC 246-237</w:t>
            </w:r>
            <w:r w:rsidRPr="0040430A">
              <w:rPr>
                <w:rStyle w:val="Hyperlink"/>
                <w:rFonts w:ascii="Segoe UI" w:hAnsi="Segoe UI" w:cs="Segoe UI"/>
                <w:color w:val="auto"/>
                <w:sz w:val="24"/>
                <w:szCs w:val="24"/>
                <w:u w:val="none"/>
              </w:rPr>
              <w:t>-023 (2)(a)</w:t>
            </w:r>
          </w:p>
          <w:p w14:paraId="5AACA249"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2018-3</w:t>
            </w:r>
          </w:p>
          <w:p w14:paraId="1459F0CF" w14:textId="7947DB82" w:rsidR="007E0227" w:rsidRPr="0040430A" w:rsidRDefault="007E0227" w:rsidP="007E0227">
            <w:pPr>
              <w:rPr>
                <w:rFonts w:ascii="Segoe UI" w:hAnsi="Segoe UI" w:cs="Segoe UI"/>
                <w:sz w:val="24"/>
                <w:szCs w:val="24"/>
              </w:rPr>
            </w:pPr>
            <w:r w:rsidRPr="0040430A">
              <w:rPr>
                <w:rFonts w:ascii="Segoe UI" w:hAnsi="Segoe UI" w:cs="Segoe UI"/>
                <w:sz w:val="24"/>
                <w:szCs w:val="24"/>
              </w:rPr>
              <w:t>83 FR 30285</w:t>
            </w:r>
          </w:p>
        </w:tc>
        <w:tc>
          <w:tcPr>
            <w:tcW w:w="2700" w:type="dxa"/>
            <w:tcBorders>
              <w:top w:val="single" w:sz="8" w:space="0" w:color="000000"/>
              <w:left w:val="single" w:sz="8" w:space="0" w:color="000000"/>
              <w:bottom w:val="single" w:sz="8" w:space="0" w:color="000000"/>
              <w:right w:val="single" w:sz="8" w:space="0" w:color="000000"/>
            </w:tcBorders>
          </w:tcPr>
          <w:p w14:paraId="42CD4FE5" w14:textId="3409730A"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37.23(b)(2) Access authorization program requirements</w:t>
            </w:r>
          </w:p>
        </w:tc>
        <w:tc>
          <w:tcPr>
            <w:tcW w:w="5310" w:type="dxa"/>
            <w:tcBorders>
              <w:top w:val="single" w:sz="8" w:space="0" w:color="000000"/>
              <w:left w:val="single" w:sz="8" w:space="0" w:color="000000"/>
              <w:bottom w:val="single" w:sz="8" w:space="0" w:color="000000"/>
              <w:right w:val="single" w:sz="8" w:space="0" w:color="000000"/>
            </w:tcBorders>
          </w:tcPr>
          <w:p w14:paraId="5977E29B" w14:textId="5886B4A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37.23(b)(2), after the second sentence, this final rule adds the sentence,</w:t>
            </w:r>
          </w:p>
          <w:p w14:paraId="673D30FE"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"Provide oath or affirmation</w:t>
            </w:r>
          </w:p>
          <w:p w14:paraId="318D7490"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certifications to the ATTN: Document</w:t>
            </w:r>
          </w:p>
          <w:p w14:paraId="1ABD8E8F"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Control Desk; Director, Office of Nuclear</w:t>
            </w:r>
          </w:p>
          <w:p w14:paraId="7512BA0B"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Material Safety and Safeguards." to read as follows:</w:t>
            </w:r>
          </w:p>
          <w:p w14:paraId="6A783DBE" w14:textId="77777777" w:rsidR="007E0227" w:rsidRPr="0040430A" w:rsidRDefault="007E0227" w:rsidP="007E0227">
            <w:pPr>
              <w:spacing w:after="0" w:line="240" w:lineRule="auto"/>
              <w:rPr>
                <w:rFonts w:ascii="Segoe UI" w:hAnsi="Segoe UI" w:cs="Segoe UI"/>
                <w:sz w:val="24"/>
                <w:szCs w:val="24"/>
              </w:rPr>
            </w:pPr>
          </w:p>
          <w:p w14:paraId="21E584B5"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37.23 Access authorization program requirements.</w:t>
            </w:r>
          </w:p>
          <w:p w14:paraId="7D20CFB1"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 xml:space="preserve">* </w:t>
            </w:r>
          </w:p>
          <w:p w14:paraId="6ECCC57D"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(b) * </w:t>
            </w:r>
            <w:r w:rsidRPr="0040430A">
              <w:rPr>
                <w:rFonts w:ascii="Segoe UI" w:hAnsi="Segoe UI" w:cs="Segoe UI"/>
                <w:sz w:val="24"/>
                <w:szCs w:val="24"/>
              </w:rPr>
              <w:tab/>
              <w:t>*    *</w:t>
            </w:r>
          </w:p>
          <w:p w14:paraId="40C146EB"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(2) Each licensee shall name one or more individuals to be reviewing officials.  After completing the background investigation on the reviewing official, the licensee shall provide under oath or affirmation, a certification that the reviewing official is deemed trustworthy and reliable by the licensee.  Provide oath or affirmation certifications to the ATTN:  Document Control Desk; Director, Office of Nuclear Material Safety and Safeguards.  The fingerprints of the named reviewing official must be taken by a law enforcement agency, Federal or State agencies that provide </w:t>
            </w:r>
            <w:r w:rsidRPr="0040430A">
              <w:rPr>
                <w:rFonts w:ascii="Segoe UI" w:hAnsi="Segoe UI" w:cs="Segoe UI"/>
                <w:sz w:val="24"/>
                <w:szCs w:val="24"/>
              </w:rPr>
              <w:lastRenderedPageBreak/>
              <w:t>fingerprinting services to the public, or commercial fingerprinting services authorized by a State to take fingerprints.  The licensee shall recertify that the reviewing official is deemed trustworthy and reliable every 10 years in accordance with § 37.25(c).</w:t>
            </w:r>
          </w:p>
          <w:p w14:paraId="51CA7E9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tc>
      </w:tr>
      <w:tr w:rsidR="007E0227" w:rsidRPr="0040430A" w14:paraId="6F8DE44F" w14:textId="77777777" w:rsidTr="005F4D04">
        <w:tc>
          <w:tcPr>
            <w:tcW w:w="2250" w:type="dxa"/>
            <w:tcBorders>
              <w:top w:val="single" w:sz="8" w:space="0" w:color="000000"/>
              <w:left w:val="single" w:sz="8" w:space="0" w:color="000000"/>
              <w:bottom w:val="single" w:sz="8" w:space="0" w:color="000000"/>
              <w:right w:val="single" w:sz="8" w:space="0" w:color="000000"/>
            </w:tcBorders>
          </w:tcPr>
          <w:p w14:paraId="207A1E51"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lastRenderedPageBreak/>
              <w:t>WAC 246-237</w:t>
            </w:r>
          </w:p>
          <w:p w14:paraId="07E9D1CF"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-043(4)(b);</w:t>
            </w:r>
          </w:p>
          <w:p w14:paraId="3022B78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-043(4)(c);</w:t>
            </w:r>
          </w:p>
          <w:p w14:paraId="3EE6D0BE"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-043(4)(c)(i);</w:t>
            </w:r>
          </w:p>
          <w:p w14:paraId="37E2CCAF"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-043(4)(e);</w:t>
            </w:r>
          </w:p>
          <w:p w14:paraId="12D3303E"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-043(4)(f);</w:t>
            </w:r>
          </w:p>
          <w:p w14:paraId="4AEE65C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-043(4)(g); and</w:t>
            </w:r>
          </w:p>
          <w:p w14:paraId="36C295E6"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-043(4)(h)(ii)</w:t>
            </w:r>
          </w:p>
          <w:p w14:paraId="61FD6AE6" w14:textId="77777777" w:rsidR="007E0227" w:rsidRPr="0040430A" w:rsidRDefault="007E0227" w:rsidP="007E0227">
            <w:pPr>
              <w:spacing w:after="0" w:line="240" w:lineRule="auto"/>
              <w:rPr>
                <w:rFonts w:ascii="Segoe UI" w:hAnsi="Segoe UI" w:cs="Segoe UI"/>
                <w:sz w:val="24"/>
                <w:szCs w:val="24"/>
              </w:rPr>
            </w:pPr>
          </w:p>
          <w:p w14:paraId="51FAEB4C" w14:textId="369D7F9E"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RATS# 2018-3</w:t>
            </w:r>
          </w:p>
          <w:p w14:paraId="5335AE82" w14:textId="77777777" w:rsidR="007E0227" w:rsidRPr="0040430A" w:rsidRDefault="007E0227" w:rsidP="007E0227">
            <w:pPr>
              <w:spacing w:after="0" w:line="240" w:lineRule="auto"/>
              <w:rPr>
                <w:rFonts w:ascii="Segoe UI" w:hAnsi="Segoe UI" w:cs="Segoe UI"/>
                <w:sz w:val="24"/>
                <w:szCs w:val="24"/>
              </w:rPr>
            </w:pPr>
          </w:p>
          <w:p w14:paraId="72DE745C" w14:textId="46A4AD69"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83 FR 30285</w:t>
            </w:r>
          </w:p>
          <w:p w14:paraId="2221921C" w14:textId="77777777" w:rsidR="007E0227" w:rsidRPr="0040430A" w:rsidRDefault="007E0227" w:rsidP="007E0227">
            <w:pPr>
              <w:spacing w:after="0" w:line="240" w:lineRule="auto"/>
              <w:rPr>
                <w:rFonts w:ascii="Segoe UI" w:hAnsi="Segoe UI" w:cs="Segoe UI"/>
                <w:sz w:val="24"/>
                <w:szCs w:val="24"/>
              </w:rPr>
            </w:pPr>
          </w:p>
          <w:p w14:paraId="7CEF0B4B" w14:textId="77777777" w:rsidR="007E0227" w:rsidRPr="0040430A" w:rsidRDefault="007E0227" w:rsidP="007E0227">
            <w:pPr>
              <w:rPr>
                <w:rFonts w:ascii="Segoe UI" w:hAnsi="Segoe UI" w:cs="Segoe UI"/>
                <w:sz w:val="24"/>
                <w:szCs w:val="24"/>
              </w:rPr>
            </w:pPr>
          </w:p>
          <w:p w14:paraId="79913541" w14:textId="77777777" w:rsidR="007E0227" w:rsidRPr="0040430A" w:rsidRDefault="007E0227" w:rsidP="007E0227">
            <w:pPr>
              <w:rPr>
                <w:rFonts w:ascii="Segoe UI" w:hAnsi="Segoe UI" w:cs="Segoe UI"/>
                <w:sz w:val="24"/>
                <w:szCs w:val="24"/>
              </w:rPr>
            </w:pPr>
          </w:p>
          <w:p w14:paraId="52B4E5F0" w14:textId="77777777" w:rsidR="007E0227" w:rsidRPr="0040430A" w:rsidRDefault="007E0227" w:rsidP="007E0227">
            <w:pPr>
              <w:rPr>
                <w:rFonts w:ascii="Segoe UI" w:hAnsi="Segoe UI" w:cs="Segoe UI"/>
                <w:sz w:val="24"/>
                <w:szCs w:val="24"/>
              </w:rPr>
            </w:pPr>
          </w:p>
          <w:p w14:paraId="00E6149D" w14:textId="77777777" w:rsidR="007E0227" w:rsidRPr="0040430A" w:rsidRDefault="007E0227" w:rsidP="007E0227">
            <w:pPr>
              <w:rPr>
                <w:rFonts w:ascii="Segoe UI" w:hAnsi="Segoe UI" w:cs="Segoe UI"/>
                <w:sz w:val="24"/>
                <w:szCs w:val="24"/>
              </w:rPr>
            </w:pPr>
          </w:p>
        </w:tc>
        <w:tc>
          <w:tcPr>
            <w:tcW w:w="2700" w:type="dxa"/>
            <w:tcBorders>
              <w:top w:val="single" w:sz="8" w:space="0" w:color="000000"/>
              <w:left w:val="single" w:sz="8" w:space="0" w:color="000000"/>
              <w:bottom w:val="single" w:sz="8" w:space="0" w:color="000000"/>
              <w:right w:val="single" w:sz="8" w:space="0" w:color="000000"/>
            </w:tcBorders>
          </w:tcPr>
          <w:p w14:paraId="698F20C5"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 37.43(d)(2), (d)(3) introductory text, (d)(3)(i), (d)(5) through (7), and (d)(8)(ii)</w:t>
            </w:r>
          </w:p>
          <w:p w14:paraId="31396AEB" w14:textId="32E9131D"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General security program requirements</w:t>
            </w:r>
          </w:p>
        </w:tc>
        <w:tc>
          <w:tcPr>
            <w:tcW w:w="5310" w:type="dxa"/>
            <w:tcBorders>
              <w:top w:val="single" w:sz="8" w:space="0" w:color="000000"/>
              <w:left w:val="single" w:sz="8" w:space="0" w:color="000000"/>
              <w:bottom w:val="single" w:sz="8" w:space="0" w:color="000000"/>
              <w:right w:val="single" w:sz="8" w:space="0" w:color="000000"/>
            </w:tcBorders>
          </w:tcPr>
          <w:p w14:paraId="15B17825" w14:textId="062AC0F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37.43, paragraphs (d)(2) and (3), and</w:t>
            </w:r>
          </w:p>
          <w:p w14:paraId="545AE441"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paragraphs (d)(5) through (8), this final</w:t>
            </w:r>
          </w:p>
          <w:p w14:paraId="3DF37B86"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rule has been revised to add the phrase "the list of</w:t>
            </w:r>
          </w:p>
          <w:p w14:paraId="40D6A709"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individuals that have been approved for</w:t>
            </w:r>
          </w:p>
          <w:p w14:paraId="05D2D891"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unescorted access" </w:t>
            </w:r>
          </w:p>
          <w:p w14:paraId="04CAF36B"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to provide the full list of</w:t>
            </w:r>
          </w:p>
          <w:p w14:paraId="78E900F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information required to be protected as follows:</w:t>
            </w:r>
          </w:p>
          <w:p w14:paraId="1DD64325" w14:textId="77777777" w:rsidR="007E0227" w:rsidRPr="0040430A" w:rsidRDefault="007E0227" w:rsidP="007E0227">
            <w:pPr>
              <w:spacing w:after="0" w:line="240" w:lineRule="auto"/>
              <w:rPr>
                <w:rFonts w:ascii="Segoe UI" w:hAnsi="Segoe UI" w:cs="Segoe UI"/>
                <w:sz w:val="24"/>
                <w:szCs w:val="24"/>
              </w:rPr>
            </w:pPr>
          </w:p>
          <w:p w14:paraId="3FDAA667"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37.43 General security program requirements.</w:t>
            </w:r>
          </w:p>
          <w:p w14:paraId="422E8D97"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 xml:space="preserve">* </w:t>
            </w:r>
          </w:p>
          <w:p w14:paraId="0EFAC156"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(d) * </w:t>
            </w:r>
            <w:r w:rsidRPr="0040430A">
              <w:rPr>
                <w:rFonts w:ascii="Segoe UI" w:hAnsi="Segoe UI" w:cs="Segoe UI"/>
                <w:sz w:val="24"/>
                <w:szCs w:val="24"/>
              </w:rPr>
              <w:tab/>
              <w:t xml:space="preserve">*     * </w:t>
            </w:r>
          </w:p>
          <w:p w14:paraId="44D7ADC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(2) Efforts to limit access shall include the development, implementation, and maintenance of written policies and procedures for controlling access to, and for proper handling and protection against unauthorized disclosure of, the security plan, implementing procedures, and the list of individuals that have been approved for unescorted access.</w:t>
            </w:r>
          </w:p>
          <w:p w14:paraId="213355B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(3) Before granting an individual access to the security plan, implementing procedures, or the list of individuals that have been approved for unescorted access, licensees shall:</w:t>
            </w:r>
          </w:p>
          <w:p w14:paraId="496CD2FB"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 Evaluate an individual's need to know the security plan, implementing procedures, or the list of individuals that have been approved for unescorted access; and</w:t>
            </w:r>
          </w:p>
          <w:p w14:paraId="6EE6BE2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251A99C5"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(5) The licensee shall document the basis for concluding that an individual is trustworthy and reliable and should be granted access to the security plan, implementing procedures, or the list of individuals that have been approved for unescorted access.</w:t>
            </w:r>
          </w:p>
          <w:p w14:paraId="0889D0BE"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(6) Licensees shall maintain a list of persons currently approved for access to the security plan, implementing procedures, or the list of individuals that have been approved for unescorted access.  When a licensee </w:t>
            </w:r>
            <w:r w:rsidRPr="0040430A">
              <w:rPr>
                <w:rFonts w:ascii="Segoe UI" w:hAnsi="Segoe UI" w:cs="Segoe UI"/>
                <w:sz w:val="24"/>
                <w:szCs w:val="24"/>
              </w:rPr>
              <w:lastRenderedPageBreak/>
              <w:t>determines that a person no longer needs access to the security plan, implementing procedures, or the list of individuals that have been approved for unescorted access, or no longer meets the access authorization requirements for access to the information, the licensee shall remove the person from the approved list as soon as possible, but no later than 7 working days, and take prompt measures to ensure that the individual is unable to obtain the security plan, implementing procedures, or the list of individuals that have been approved for unescorted access.</w:t>
            </w:r>
          </w:p>
          <w:p w14:paraId="2A19C904"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(7) When not in use, the licensee shall store its security plan, implementing procedures, and the list of individuals that have been approved for unescorted access in a manner to prevent unauthorized access.  Information stored in nonremovable electronic form must be password protected.</w:t>
            </w:r>
          </w:p>
          <w:p w14:paraId="3A415693"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(8) * </w:t>
            </w:r>
            <w:r w:rsidRPr="0040430A">
              <w:rPr>
                <w:rFonts w:ascii="Segoe UI" w:hAnsi="Segoe UI" w:cs="Segoe UI"/>
                <w:sz w:val="24"/>
                <w:szCs w:val="24"/>
              </w:rPr>
              <w:tab/>
              <w:t>*     *</w:t>
            </w:r>
          </w:p>
          <w:p w14:paraId="77A3211D"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(ii) The list of individuals approved for access to the security plan, implementing procedures, or the list of individuals that have been approved for unescorted access.</w:t>
            </w:r>
          </w:p>
        </w:tc>
      </w:tr>
      <w:tr w:rsidR="007E0227" w:rsidRPr="0040430A" w14:paraId="3932DFD6" w14:textId="77777777" w:rsidTr="005F4D04">
        <w:tc>
          <w:tcPr>
            <w:tcW w:w="2250" w:type="dxa"/>
            <w:tcBorders>
              <w:top w:val="single" w:sz="8" w:space="0" w:color="000000"/>
              <w:left w:val="single" w:sz="8" w:space="0" w:color="000000"/>
              <w:bottom w:val="single" w:sz="8" w:space="0" w:color="000000"/>
              <w:right w:val="single" w:sz="8" w:space="0" w:color="000000"/>
            </w:tcBorders>
          </w:tcPr>
          <w:p w14:paraId="15F77A34"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lastRenderedPageBreak/>
              <w:t>WAC 264-237-077 (1)(a)</w:t>
            </w:r>
          </w:p>
          <w:p w14:paraId="0BD6D38A"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2018-3</w:t>
            </w:r>
          </w:p>
          <w:p w14:paraId="5217DA55" w14:textId="326EDA33" w:rsidR="007E0227" w:rsidRPr="0040430A" w:rsidRDefault="007E0227" w:rsidP="007E0227">
            <w:pPr>
              <w:rPr>
                <w:rFonts w:ascii="Segoe UI" w:hAnsi="Segoe UI" w:cs="Segoe UI"/>
                <w:sz w:val="24"/>
                <w:szCs w:val="24"/>
              </w:rPr>
            </w:pPr>
            <w:r w:rsidRPr="0040430A">
              <w:rPr>
                <w:rFonts w:ascii="Segoe UI" w:hAnsi="Segoe UI" w:cs="Segoe UI"/>
                <w:sz w:val="24"/>
                <w:szCs w:val="24"/>
              </w:rPr>
              <w:t>83 FR 30285</w:t>
            </w:r>
          </w:p>
        </w:tc>
        <w:tc>
          <w:tcPr>
            <w:tcW w:w="2700" w:type="dxa"/>
            <w:tcBorders>
              <w:top w:val="single" w:sz="8" w:space="0" w:color="000000"/>
              <w:left w:val="single" w:sz="8" w:space="0" w:color="000000"/>
              <w:bottom w:val="single" w:sz="8" w:space="0" w:color="000000"/>
              <w:right w:val="single" w:sz="8" w:space="0" w:color="000000"/>
            </w:tcBorders>
          </w:tcPr>
          <w:p w14:paraId="294B1275" w14:textId="328F0871"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37.77(a)(1) Advance notification of shipment of category I quantities of radioactive material.</w:t>
            </w:r>
          </w:p>
        </w:tc>
        <w:tc>
          <w:tcPr>
            <w:tcW w:w="5310" w:type="dxa"/>
            <w:tcBorders>
              <w:top w:val="single" w:sz="8" w:space="0" w:color="000000"/>
              <w:left w:val="single" w:sz="8" w:space="0" w:color="000000"/>
              <w:bottom w:val="single" w:sz="8" w:space="0" w:color="000000"/>
              <w:right w:val="single" w:sz="8" w:space="0" w:color="000000"/>
            </w:tcBorders>
          </w:tcPr>
          <w:p w14:paraId="781FC69E" w14:textId="51399662"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37.77(a)(1), remove the title “Division of Material Safety, State, Tribal, and Rulemaking Programs” and add in its place the title “Division of Materials Safety, Security, State, and Tribal Programs”.</w:t>
            </w:r>
          </w:p>
          <w:p w14:paraId="76139022" w14:textId="77777777" w:rsidR="007E0227" w:rsidRPr="0040430A" w:rsidRDefault="007E0227" w:rsidP="007E0227">
            <w:pPr>
              <w:spacing w:after="0" w:line="240" w:lineRule="auto"/>
              <w:rPr>
                <w:rFonts w:ascii="Segoe UI" w:hAnsi="Segoe UI" w:cs="Segoe UI"/>
                <w:sz w:val="24"/>
                <w:szCs w:val="24"/>
              </w:rPr>
            </w:pPr>
          </w:p>
          <w:p w14:paraId="678D688D" w14:textId="77777777" w:rsidR="007E0227" w:rsidRPr="0040430A" w:rsidRDefault="007E0227" w:rsidP="007E0227">
            <w:pPr>
              <w:spacing w:after="0" w:line="240" w:lineRule="auto"/>
              <w:rPr>
                <w:rFonts w:ascii="Segoe UI" w:hAnsi="Segoe UI" w:cs="Segoe UI"/>
                <w:sz w:val="24"/>
                <w:szCs w:val="24"/>
              </w:rPr>
            </w:pPr>
          </w:p>
        </w:tc>
      </w:tr>
      <w:tr w:rsidR="007E0227" w:rsidRPr="0040430A" w14:paraId="5EEED186" w14:textId="77777777" w:rsidTr="005F4D04">
        <w:tc>
          <w:tcPr>
            <w:tcW w:w="2250" w:type="dxa"/>
            <w:tcBorders>
              <w:top w:val="single" w:sz="8" w:space="0" w:color="000000"/>
              <w:left w:val="single" w:sz="8" w:space="0" w:color="000000"/>
              <w:bottom w:val="double" w:sz="6" w:space="0" w:color="000000"/>
              <w:right w:val="single" w:sz="8" w:space="0" w:color="000000"/>
            </w:tcBorders>
          </w:tcPr>
          <w:p w14:paraId="7BE25335"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WAC 246-231-140 (3)(c)(iii)</w:t>
            </w:r>
          </w:p>
          <w:p w14:paraId="0F8CD6BC"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2018-3</w:t>
            </w:r>
          </w:p>
          <w:p w14:paraId="349F02BA" w14:textId="3146EDFD" w:rsidR="007E0227" w:rsidRPr="0040430A" w:rsidRDefault="007E0227" w:rsidP="007E0227">
            <w:pPr>
              <w:rPr>
                <w:rFonts w:ascii="Segoe UI" w:hAnsi="Segoe UI" w:cs="Segoe UI"/>
                <w:sz w:val="24"/>
                <w:szCs w:val="24"/>
              </w:rPr>
            </w:pPr>
            <w:r w:rsidRPr="0040430A">
              <w:rPr>
                <w:rFonts w:ascii="Segoe UI" w:hAnsi="Segoe UI" w:cs="Segoe UI"/>
                <w:sz w:val="24"/>
                <w:szCs w:val="24"/>
              </w:rPr>
              <w:t>83 FR 30285</w:t>
            </w:r>
          </w:p>
        </w:tc>
        <w:tc>
          <w:tcPr>
            <w:tcW w:w="2700" w:type="dxa"/>
            <w:tcBorders>
              <w:top w:val="single" w:sz="8" w:space="0" w:color="000000"/>
              <w:left w:val="single" w:sz="8" w:space="0" w:color="000000"/>
              <w:bottom w:val="double" w:sz="6" w:space="0" w:color="000000"/>
              <w:right w:val="single" w:sz="8" w:space="0" w:color="000000"/>
            </w:tcBorders>
          </w:tcPr>
          <w:p w14:paraId="138F8432" w14:textId="3443A6C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71.97(c)(3) Advance notification of shipment of irradiated reactor fuel and nuclear waste.</w:t>
            </w:r>
          </w:p>
        </w:tc>
        <w:tc>
          <w:tcPr>
            <w:tcW w:w="5310" w:type="dxa"/>
            <w:tcBorders>
              <w:top w:val="single" w:sz="8" w:space="0" w:color="000000"/>
              <w:left w:val="single" w:sz="8" w:space="0" w:color="000000"/>
              <w:bottom w:val="double" w:sz="6" w:space="0" w:color="000000"/>
              <w:right w:val="single" w:sz="8" w:space="0" w:color="000000"/>
            </w:tcBorders>
          </w:tcPr>
          <w:p w14:paraId="533877C1" w14:textId="1569B69E"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71.97(c)(3)(iii), remove the title “Division of Material Safety, State, Tribal, and Rulemaking Programs” and add in its place the title “Division of Materials Safety, Security, State, and Tribal Programs”.</w:t>
            </w:r>
          </w:p>
        </w:tc>
      </w:tr>
      <w:tr w:rsidR="007E0227" w:rsidRPr="0040430A" w14:paraId="54FD6055" w14:textId="77777777" w:rsidTr="005F4D04">
        <w:tc>
          <w:tcPr>
            <w:tcW w:w="2250" w:type="dxa"/>
            <w:tcBorders>
              <w:top w:val="single" w:sz="8" w:space="0" w:color="000000"/>
              <w:left w:val="single" w:sz="8" w:space="0" w:color="000000"/>
              <w:bottom w:val="double" w:sz="6" w:space="0" w:color="000000"/>
              <w:right w:val="single" w:sz="8" w:space="0" w:color="000000"/>
            </w:tcBorders>
          </w:tcPr>
          <w:p w14:paraId="26D4D9F7"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WAC 246-237-027 (3)(a) and (b)</w:t>
            </w:r>
          </w:p>
          <w:p w14:paraId="42624AC4"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2019-1</w:t>
            </w:r>
          </w:p>
          <w:p w14:paraId="4EBAB079" w14:textId="26B650EC" w:rsidR="007E0227" w:rsidRPr="0040430A" w:rsidRDefault="007E0227" w:rsidP="007E0227">
            <w:pPr>
              <w:rPr>
                <w:rFonts w:ascii="Segoe UI" w:hAnsi="Segoe UI" w:cs="Segoe UI"/>
                <w:sz w:val="24"/>
                <w:szCs w:val="24"/>
              </w:rPr>
            </w:pPr>
            <w:r w:rsidRPr="0040430A">
              <w:rPr>
                <w:rFonts w:ascii="Segoe UI" w:hAnsi="Segoe UI" w:cs="Segoe UI"/>
                <w:sz w:val="24"/>
                <w:szCs w:val="24"/>
              </w:rPr>
              <w:t>84 FR 63565</w:t>
            </w:r>
          </w:p>
        </w:tc>
        <w:tc>
          <w:tcPr>
            <w:tcW w:w="2700" w:type="dxa"/>
            <w:tcBorders>
              <w:top w:val="single" w:sz="8" w:space="0" w:color="000000"/>
              <w:left w:val="single" w:sz="8" w:space="0" w:color="000000"/>
              <w:bottom w:val="double" w:sz="6" w:space="0" w:color="000000"/>
              <w:right w:val="single" w:sz="8" w:space="0" w:color="000000"/>
            </w:tcBorders>
          </w:tcPr>
          <w:p w14:paraId="7722BEC5" w14:textId="2261DDF6" w:rsidR="007E0227" w:rsidRPr="0040430A" w:rsidRDefault="007E0227" w:rsidP="007E0227">
            <w:pPr>
              <w:spacing w:after="0" w:line="240" w:lineRule="auto"/>
              <w:rPr>
                <w:rFonts w:ascii="Segoe UI" w:hAnsi="Segoe UI" w:cs="Segoe UI"/>
                <w:sz w:val="24"/>
                <w:szCs w:val="24"/>
              </w:rPr>
            </w:pPr>
            <w:proofErr w:type="gramStart"/>
            <w:r w:rsidRPr="0040430A">
              <w:rPr>
                <w:rFonts w:ascii="Segoe UI" w:hAnsi="Segoe UI" w:cs="Segoe UI"/>
                <w:sz w:val="24"/>
                <w:szCs w:val="24"/>
              </w:rPr>
              <w:t>§  37.27</w:t>
            </w:r>
            <w:proofErr w:type="gramEnd"/>
            <w:r w:rsidRPr="0040430A">
              <w:rPr>
                <w:rFonts w:ascii="Segoe UI" w:hAnsi="Segoe UI" w:cs="Segoe UI"/>
                <w:sz w:val="24"/>
                <w:szCs w:val="24"/>
              </w:rPr>
              <w:t>(c)(1) and (2) Requirements for criminal history records checks of individuals granted unescorted access to category 1 or category 2 quantities of radioactive material</w:t>
            </w:r>
          </w:p>
        </w:tc>
        <w:tc>
          <w:tcPr>
            <w:tcW w:w="5310" w:type="dxa"/>
            <w:tcBorders>
              <w:top w:val="single" w:sz="8" w:space="0" w:color="000000"/>
              <w:left w:val="single" w:sz="8" w:space="0" w:color="000000"/>
              <w:bottom w:val="double" w:sz="6" w:space="0" w:color="000000"/>
              <w:right w:val="single" w:sz="8" w:space="0" w:color="000000"/>
            </w:tcBorders>
          </w:tcPr>
          <w:p w14:paraId="6B10E054" w14:textId="4FE3F45F" w:rsidR="007E0227" w:rsidRPr="0040430A" w:rsidRDefault="007E0227" w:rsidP="007E0227">
            <w:pPr>
              <w:spacing w:after="0" w:line="240" w:lineRule="auto"/>
              <w:rPr>
                <w:rFonts w:ascii="Segoe UI" w:hAnsi="Segoe UI" w:cs="Segoe UI"/>
                <w:sz w:val="24"/>
                <w:szCs w:val="24"/>
              </w:rPr>
            </w:pPr>
            <w:bookmarkStart w:id="1" w:name="_Hlk15562289"/>
            <w:r w:rsidRPr="0040430A">
              <w:rPr>
                <w:rFonts w:ascii="Segoe UI" w:hAnsi="Segoe UI" w:cs="Segoe UI"/>
                <w:sz w:val="24"/>
                <w:szCs w:val="24"/>
              </w:rPr>
              <w:t>In § 37.27, revise paragraphs (c)(1) and (2) to read as follows:</w:t>
            </w:r>
            <w:bookmarkEnd w:id="1"/>
          </w:p>
          <w:p w14:paraId="017AF692" w14:textId="77777777" w:rsidR="007E0227" w:rsidRPr="0040430A" w:rsidRDefault="007E0227" w:rsidP="007E0227">
            <w:pPr>
              <w:spacing w:after="0" w:line="240" w:lineRule="auto"/>
              <w:rPr>
                <w:rFonts w:ascii="Segoe UI" w:hAnsi="Segoe UI" w:cs="Segoe UI"/>
                <w:sz w:val="24"/>
                <w:szCs w:val="24"/>
              </w:rPr>
            </w:pPr>
          </w:p>
          <w:p w14:paraId="655202D9"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16442770"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ab/>
              <w:t>(c) *     *      *</w:t>
            </w:r>
          </w:p>
          <w:p w14:paraId="4FA9A224"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 </w:t>
            </w:r>
            <w:r w:rsidRPr="0040430A">
              <w:rPr>
                <w:rFonts w:ascii="Segoe UI" w:hAnsi="Segoe UI" w:cs="Segoe UI"/>
                <w:sz w:val="24"/>
                <w:szCs w:val="24"/>
              </w:rPr>
              <w:tab/>
              <w:t xml:space="preserve">(1) For the purposes of complying with this subpart, licensees shall use an appropriate method listed in § 37.7 to submit to the U.S. Nuclear Regulatory Commission, Director, Division of Physical and Cyber Security Policy, </w:t>
            </w:r>
            <w:r w:rsidRPr="0040430A">
              <w:rPr>
                <w:rFonts w:ascii="Segoe UI" w:hAnsi="Segoe UI" w:cs="Segoe UI"/>
                <w:sz w:val="24"/>
                <w:szCs w:val="24"/>
              </w:rPr>
              <w:lastRenderedPageBreak/>
              <w:t xml:space="preserve">11545 Rockville Pike, ATTN: Criminal History Program/Mail Stop T-8B20*, Rockville, MD 20852,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emailing  </w:t>
            </w:r>
            <w:hyperlink r:id="rId10" w:history="1">
              <w:r w:rsidRPr="0040430A">
                <w:rPr>
                  <w:rStyle w:val="Hyperlink"/>
                  <w:rFonts w:ascii="Segoe UI" w:hAnsi="Segoe UI" w:cs="Segoe UI"/>
                  <w:sz w:val="24"/>
                  <w:szCs w:val="24"/>
                </w:rPr>
                <w:t>MAILSVS.Resource@nrc.gov</w:t>
              </w:r>
            </w:hyperlink>
            <w:r w:rsidRPr="0040430A">
              <w:rPr>
                <w:rFonts w:ascii="Segoe UI" w:hAnsi="Segoe UI" w:cs="Segoe UI"/>
                <w:sz w:val="24"/>
                <w:szCs w:val="24"/>
              </w:rPr>
              <w:t xml:space="preserve">.  Guidance on submitting electronic fingerprints can be found at </w:t>
            </w:r>
            <w:hyperlink r:id="rId11" w:history="1">
              <w:r w:rsidRPr="0040430A">
                <w:rPr>
                  <w:rStyle w:val="Hyperlink"/>
                  <w:rFonts w:ascii="Segoe UI" w:hAnsi="Segoe UI" w:cs="Segoe UI"/>
                  <w:sz w:val="24"/>
                  <w:szCs w:val="24"/>
                </w:rPr>
                <w:t>https://www.nrc.gov/security/chp.html</w:t>
              </w:r>
            </w:hyperlink>
            <w:r w:rsidRPr="0040430A">
              <w:rPr>
                <w:rFonts w:ascii="Segoe UI" w:hAnsi="Segoe UI" w:cs="Segoe UI"/>
                <w:sz w:val="24"/>
                <w:szCs w:val="24"/>
              </w:rPr>
              <w:t xml:space="preserve">. </w:t>
            </w:r>
          </w:p>
          <w:p w14:paraId="39BE3098"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ab/>
              <w:t xml:space="preserve">(2) 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Division of Physical and Cyber Security Policy by e-mailing </w:t>
            </w:r>
            <w:hyperlink r:id="rId12" w:history="1">
              <w:r w:rsidRPr="0040430A">
                <w:rPr>
                  <w:rStyle w:val="Hyperlink"/>
                  <w:rFonts w:ascii="Segoe UI" w:hAnsi="Segoe UI" w:cs="Segoe UI"/>
                  <w:sz w:val="24"/>
                  <w:szCs w:val="24"/>
                </w:rPr>
                <w:t>Crimhist.Resource@nrc.gov</w:t>
              </w:r>
            </w:hyperlink>
            <w:r w:rsidRPr="0040430A">
              <w:rPr>
                <w:rFonts w:ascii="Segoe UI" w:hAnsi="Segoe UI" w:cs="Segoe UI"/>
                <w:sz w:val="24"/>
                <w:szCs w:val="24"/>
              </w:rPr>
              <w:t xml:space="preserve">.) Combined payment for multiple applications is acceptable.  The Commission publishes the amount of the fingerprint check application fee on the NRC's public Web site.  (To find the current fee amount, go to the Licensee Criminal History Records Checks &amp; Firearms Background Check information page at </w:t>
            </w:r>
            <w:hyperlink r:id="rId13" w:history="1">
              <w:r w:rsidRPr="0040430A">
                <w:rPr>
                  <w:rStyle w:val="Hyperlink"/>
                  <w:rFonts w:ascii="Segoe UI" w:hAnsi="Segoe UI" w:cs="Segoe UI"/>
                  <w:sz w:val="24"/>
                  <w:szCs w:val="24"/>
                </w:rPr>
                <w:t>https://www.nrc.gov/security/chp.html</w:t>
              </w:r>
            </w:hyperlink>
            <w:r w:rsidRPr="0040430A">
              <w:rPr>
                <w:rFonts w:ascii="Segoe UI" w:hAnsi="Segoe UI" w:cs="Segoe UI"/>
                <w:sz w:val="24"/>
                <w:szCs w:val="24"/>
              </w:rPr>
              <w:t xml:space="preserve"> and see the link for How do I determine how much to pay for the request?).</w:t>
            </w:r>
          </w:p>
          <w:p w14:paraId="505B182D"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51BB51D6" w14:textId="77777777" w:rsidR="007E0227" w:rsidRPr="0040430A" w:rsidRDefault="007E0227" w:rsidP="007E0227">
            <w:pPr>
              <w:spacing w:after="0" w:line="240" w:lineRule="auto"/>
              <w:rPr>
                <w:rFonts w:ascii="Segoe UI" w:hAnsi="Segoe UI" w:cs="Segoe UI"/>
                <w:sz w:val="24"/>
                <w:szCs w:val="24"/>
              </w:rPr>
            </w:pPr>
          </w:p>
        </w:tc>
      </w:tr>
      <w:tr w:rsidR="007E0227" w:rsidRPr="0040430A" w14:paraId="66152481" w14:textId="77777777" w:rsidTr="005F4D04">
        <w:tc>
          <w:tcPr>
            <w:tcW w:w="2250" w:type="dxa"/>
            <w:tcBorders>
              <w:top w:val="single" w:sz="8" w:space="0" w:color="000000"/>
              <w:left w:val="single" w:sz="8" w:space="0" w:color="000000"/>
              <w:bottom w:val="double" w:sz="6" w:space="0" w:color="000000"/>
              <w:right w:val="single" w:sz="8" w:space="0" w:color="000000"/>
            </w:tcBorders>
          </w:tcPr>
          <w:p w14:paraId="2B2FB709"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lastRenderedPageBreak/>
              <w:t>WAC 246-231-060 (3)(c)</w:t>
            </w:r>
          </w:p>
          <w:p w14:paraId="11F5707F"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2019-2</w:t>
            </w:r>
          </w:p>
          <w:p w14:paraId="608DACC2" w14:textId="4BD5F3DF" w:rsidR="007E0227" w:rsidRPr="0040430A" w:rsidRDefault="007E0227" w:rsidP="007E0227">
            <w:pPr>
              <w:rPr>
                <w:rFonts w:ascii="Segoe UI" w:hAnsi="Segoe UI" w:cs="Segoe UI"/>
                <w:sz w:val="24"/>
                <w:szCs w:val="24"/>
              </w:rPr>
            </w:pPr>
            <w:r w:rsidRPr="0040430A">
              <w:rPr>
                <w:rFonts w:ascii="Segoe UI" w:hAnsi="Segoe UI" w:cs="Segoe UI"/>
                <w:sz w:val="24"/>
                <w:szCs w:val="24"/>
              </w:rPr>
              <w:t>84 FR 65639 and 84 FR 66561</w:t>
            </w:r>
          </w:p>
        </w:tc>
        <w:tc>
          <w:tcPr>
            <w:tcW w:w="2700" w:type="dxa"/>
            <w:tcBorders>
              <w:top w:val="single" w:sz="8" w:space="0" w:color="000000"/>
              <w:left w:val="single" w:sz="8" w:space="0" w:color="000000"/>
              <w:bottom w:val="double" w:sz="6" w:space="0" w:color="000000"/>
              <w:right w:val="single" w:sz="8" w:space="0" w:color="000000"/>
            </w:tcBorders>
          </w:tcPr>
          <w:p w14:paraId="1F8CECA7" w14:textId="77777777" w:rsidR="007E0227" w:rsidRPr="0040430A" w:rsidRDefault="007E0227" w:rsidP="007E0227">
            <w:pPr>
              <w:spacing w:after="0" w:line="240" w:lineRule="auto"/>
              <w:rPr>
                <w:rFonts w:ascii="Segoe UI" w:hAnsi="Segoe UI" w:cs="Segoe UI"/>
                <w:sz w:val="24"/>
                <w:szCs w:val="24"/>
              </w:rPr>
            </w:pPr>
            <w:proofErr w:type="gramStart"/>
            <w:r w:rsidRPr="0040430A">
              <w:rPr>
                <w:rFonts w:ascii="Segoe UI" w:hAnsi="Segoe UI" w:cs="Segoe UI"/>
                <w:sz w:val="24"/>
                <w:szCs w:val="24"/>
              </w:rPr>
              <w:t>§  71.17</w:t>
            </w:r>
            <w:proofErr w:type="gramEnd"/>
            <w:r w:rsidRPr="0040430A">
              <w:rPr>
                <w:rFonts w:ascii="Segoe UI" w:hAnsi="Segoe UI" w:cs="Segoe UI"/>
                <w:sz w:val="24"/>
                <w:szCs w:val="24"/>
              </w:rPr>
              <w:t>(c)(3)</w:t>
            </w:r>
          </w:p>
          <w:p w14:paraId="3A40B4D6" w14:textId="7C5F84AD"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General License: NRC approved package</w:t>
            </w:r>
          </w:p>
        </w:tc>
        <w:tc>
          <w:tcPr>
            <w:tcW w:w="5310" w:type="dxa"/>
            <w:tcBorders>
              <w:top w:val="single" w:sz="8" w:space="0" w:color="000000"/>
              <w:left w:val="single" w:sz="8" w:space="0" w:color="000000"/>
              <w:bottom w:val="double" w:sz="6" w:space="0" w:color="000000"/>
              <w:right w:val="single" w:sz="8" w:space="0" w:color="000000"/>
            </w:tcBorders>
          </w:tcPr>
          <w:p w14:paraId="36297C2C" w14:textId="5E388B31"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71.17(c)(3), remove “Division of Spent Fuel Storage and Transportation” and add in its place “Division of Fuel Management”.</w:t>
            </w:r>
          </w:p>
          <w:p w14:paraId="708D7AD3" w14:textId="77777777" w:rsidR="007E0227" w:rsidRPr="0040430A" w:rsidRDefault="007E0227" w:rsidP="007E0227">
            <w:pPr>
              <w:spacing w:after="0" w:line="240" w:lineRule="auto"/>
              <w:rPr>
                <w:rFonts w:ascii="Segoe UI" w:hAnsi="Segoe UI" w:cs="Segoe UI"/>
                <w:sz w:val="24"/>
                <w:szCs w:val="24"/>
              </w:rPr>
            </w:pPr>
          </w:p>
        </w:tc>
      </w:tr>
      <w:tr w:rsidR="007E0227" w:rsidRPr="0040430A" w14:paraId="53489EA1" w14:textId="77777777" w:rsidTr="005F4D04">
        <w:tc>
          <w:tcPr>
            <w:tcW w:w="2250" w:type="dxa"/>
            <w:tcBorders>
              <w:top w:val="single" w:sz="8" w:space="0" w:color="000000"/>
              <w:left w:val="single" w:sz="8" w:space="0" w:color="000000"/>
              <w:bottom w:val="double" w:sz="6" w:space="0" w:color="000000"/>
              <w:right w:val="single" w:sz="8" w:space="0" w:color="000000"/>
            </w:tcBorders>
          </w:tcPr>
          <w:p w14:paraId="5B38A0CB"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WAC 246-231-150 (3)</w:t>
            </w:r>
          </w:p>
          <w:p w14:paraId="2603B430" w14:textId="77777777" w:rsidR="007E0227" w:rsidRPr="0040430A" w:rsidRDefault="007E0227" w:rsidP="007E0227">
            <w:pPr>
              <w:rPr>
                <w:rFonts w:ascii="Segoe UI" w:hAnsi="Segoe UI" w:cs="Segoe UI"/>
                <w:sz w:val="24"/>
                <w:szCs w:val="24"/>
              </w:rPr>
            </w:pPr>
            <w:r w:rsidRPr="0040430A">
              <w:rPr>
                <w:rFonts w:ascii="Segoe UI" w:hAnsi="Segoe UI" w:cs="Segoe UI"/>
                <w:sz w:val="24"/>
                <w:szCs w:val="24"/>
              </w:rPr>
              <w:t>RATS# 2019-2</w:t>
            </w:r>
          </w:p>
          <w:p w14:paraId="267D7699" w14:textId="77245593" w:rsidR="007E0227" w:rsidRPr="0040430A" w:rsidRDefault="007E0227" w:rsidP="007E0227">
            <w:pPr>
              <w:rPr>
                <w:rFonts w:ascii="Segoe UI" w:hAnsi="Segoe UI" w:cs="Segoe UI"/>
                <w:sz w:val="24"/>
                <w:szCs w:val="24"/>
              </w:rPr>
            </w:pPr>
            <w:r w:rsidRPr="0040430A">
              <w:rPr>
                <w:rFonts w:ascii="Segoe UI" w:hAnsi="Segoe UI" w:cs="Segoe UI"/>
                <w:sz w:val="24"/>
                <w:szCs w:val="24"/>
              </w:rPr>
              <w:lastRenderedPageBreak/>
              <w:t>84 FR 65639 and 84 FR 66561</w:t>
            </w:r>
          </w:p>
        </w:tc>
        <w:tc>
          <w:tcPr>
            <w:tcW w:w="2700" w:type="dxa"/>
            <w:tcBorders>
              <w:top w:val="single" w:sz="8" w:space="0" w:color="000000"/>
              <w:left w:val="single" w:sz="8" w:space="0" w:color="000000"/>
              <w:bottom w:val="double" w:sz="6" w:space="0" w:color="000000"/>
              <w:right w:val="single" w:sz="8" w:space="0" w:color="000000"/>
            </w:tcBorders>
          </w:tcPr>
          <w:p w14:paraId="6FE59D40" w14:textId="7771E205" w:rsidR="007E0227" w:rsidRPr="0040430A" w:rsidRDefault="007E0227" w:rsidP="007E0227">
            <w:pPr>
              <w:spacing w:after="0" w:line="240" w:lineRule="auto"/>
              <w:rPr>
                <w:rFonts w:ascii="Segoe UI" w:hAnsi="Segoe UI" w:cs="Segoe UI"/>
                <w:sz w:val="24"/>
                <w:szCs w:val="24"/>
              </w:rPr>
            </w:pPr>
            <w:bookmarkStart w:id="2" w:name="_Hlk19014355"/>
            <w:proofErr w:type="gramStart"/>
            <w:r w:rsidRPr="0040430A">
              <w:rPr>
                <w:rFonts w:ascii="Segoe UI" w:hAnsi="Segoe UI" w:cs="Segoe UI"/>
                <w:sz w:val="24"/>
                <w:szCs w:val="24"/>
              </w:rPr>
              <w:lastRenderedPageBreak/>
              <w:t xml:space="preserve">§  </w:t>
            </w:r>
            <w:bookmarkEnd w:id="2"/>
            <w:r w:rsidRPr="0040430A">
              <w:rPr>
                <w:rFonts w:ascii="Segoe UI" w:hAnsi="Segoe UI" w:cs="Segoe UI"/>
                <w:sz w:val="24"/>
                <w:szCs w:val="24"/>
              </w:rPr>
              <w:t>71.101</w:t>
            </w:r>
            <w:proofErr w:type="gramEnd"/>
            <w:r w:rsidRPr="0040430A">
              <w:rPr>
                <w:rFonts w:ascii="Segoe UI" w:hAnsi="Segoe UI" w:cs="Segoe UI"/>
                <w:sz w:val="24"/>
                <w:szCs w:val="24"/>
              </w:rPr>
              <w:t xml:space="preserve"> Quality Assurance requirements</w:t>
            </w:r>
          </w:p>
        </w:tc>
        <w:tc>
          <w:tcPr>
            <w:tcW w:w="5310" w:type="dxa"/>
            <w:tcBorders>
              <w:top w:val="single" w:sz="8" w:space="0" w:color="000000"/>
              <w:left w:val="single" w:sz="8" w:space="0" w:color="000000"/>
              <w:bottom w:val="double" w:sz="6" w:space="0" w:color="000000"/>
              <w:right w:val="single" w:sz="8" w:space="0" w:color="000000"/>
            </w:tcBorders>
          </w:tcPr>
          <w:p w14:paraId="363B7FCF" w14:textId="034E5A2A"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71.101 wherever it appears, remove “Division of Spent Fuel Management” and add in its place “Division of Fuel Management”.</w:t>
            </w:r>
          </w:p>
          <w:p w14:paraId="23A2F2D4" w14:textId="77777777" w:rsidR="007E0227" w:rsidRPr="0040430A" w:rsidRDefault="007E0227" w:rsidP="007E0227">
            <w:pPr>
              <w:spacing w:after="0" w:line="240" w:lineRule="auto"/>
              <w:rPr>
                <w:rFonts w:ascii="Segoe UI" w:hAnsi="Segoe UI" w:cs="Segoe UI"/>
                <w:sz w:val="24"/>
                <w:szCs w:val="24"/>
              </w:rPr>
            </w:pPr>
          </w:p>
          <w:p w14:paraId="3D4A858F"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[NOTE: This does not apply to 71.101(c)(1) for the Agreement States, since this subsection in </w:t>
            </w:r>
            <w:r w:rsidRPr="0040430A">
              <w:rPr>
                <w:rFonts w:ascii="Segoe UI" w:hAnsi="Segoe UI" w:cs="Segoe UI"/>
                <w:sz w:val="24"/>
                <w:szCs w:val="24"/>
              </w:rPr>
              <w:lastRenderedPageBreak/>
              <w:t>the equivalent Agreement State regulations should require that the quality assurance plan be sent to the State agency and not to the NRC.]</w:t>
            </w:r>
          </w:p>
          <w:p w14:paraId="6EF290EB" w14:textId="77777777" w:rsidR="007E0227" w:rsidRPr="0040430A" w:rsidRDefault="007E0227" w:rsidP="007E0227">
            <w:pPr>
              <w:spacing w:after="0" w:line="240" w:lineRule="auto"/>
              <w:rPr>
                <w:rFonts w:ascii="Segoe UI" w:hAnsi="Segoe UI" w:cs="Segoe UI"/>
                <w:sz w:val="24"/>
                <w:szCs w:val="24"/>
              </w:rPr>
            </w:pPr>
          </w:p>
          <w:p w14:paraId="6AAE7CA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ORP regs pointed to NRC and NRC asked DOH to have the assurance plans sent to DOH.  ORP regs were changed in 246-231-150 (3</w:t>
            </w:r>
            <w:proofErr w:type="gramStart"/>
            <w:r w:rsidRPr="0040430A">
              <w:rPr>
                <w:rFonts w:ascii="Segoe UI" w:hAnsi="Segoe UI" w:cs="Segoe UI"/>
                <w:sz w:val="24"/>
                <w:szCs w:val="24"/>
              </w:rPr>
              <w:t>)  to</w:t>
            </w:r>
            <w:proofErr w:type="gramEnd"/>
            <w:r w:rsidRPr="0040430A">
              <w:rPr>
                <w:rFonts w:ascii="Segoe UI" w:hAnsi="Segoe UI" w:cs="Segoe UI"/>
                <w:sz w:val="24"/>
                <w:szCs w:val="24"/>
              </w:rPr>
              <w:t xml:space="preserve"> reflect that requested change.</w:t>
            </w:r>
          </w:p>
          <w:p w14:paraId="42F03708" w14:textId="77777777" w:rsidR="007E0227" w:rsidRPr="0040430A" w:rsidRDefault="007E0227" w:rsidP="007E0227">
            <w:pPr>
              <w:spacing w:after="0" w:line="240" w:lineRule="auto"/>
              <w:rPr>
                <w:rFonts w:ascii="Segoe UI" w:hAnsi="Segoe UI" w:cs="Segoe UI"/>
                <w:sz w:val="24"/>
                <w:szCs w:val="24"/>
              </w:rPr>
            </w:pPr>
          </w:p>
        </w:tc>
      </w:tr>
      <w:tr w:rsidR="007E0227" w:rsidRPr="0040430A" w14:paraId="05DEB78C" w14:textId="77777777" w:rsidTr="005F4D04">
        <w:tc>
          <w:tcPr>
            <w:tcW w:w="2250" w:type="dxa"/>
            <w:tcBorders>
              <w:top w:val="single" w:sz="8" w:space="0" w:color="000000"/>
              <w:left w:val="single" w:sz="8" w:space="0" w:color="000000"/>
              <w:bottom w:val="double" w:sz="6" w:space="0" w:color="000000"/>
              <w:right w:val="single" w:sz="8" w:space="0" w:color="000000"/>
            </w:tcBorders>
          </w:tcPr>
          <w:p w14:paraId="7501FAF4"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lastRenderedPageBreak/>
              <w:t>WAC 246-243-150 (1) (c) and (d); (3); (5)(c) and (d)</w:t>
            </w:r>
          </w:p>
          <w:p w14:paraId="68054BD6" w14:textId="77777777" w:rsidR="007E0227" w:rsidRPr="0040430A" w:rsidRDefault="007E0227" w:rsidP="007E0227">
            <w:pPr>
              <w:spacing w:after="0" w:line="240" w:lineRule="auto"/>
              <w:rPr>
                <w:rFonts w:ascii="Segoe UI" w:hAnsi="Segoe UI" w:cs="Segoe UI"/>
                <w:sz w:val="24"/>
                <w:szCs w:val="24"/>
              </w:rPr>
            </w:pPr>
          </w:p>
          <w:p w14:paraId="2E3B51D8"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WAC 246-236-055</w:t>
            </w:r>
          </w:p>
          <w:p w14:paraId="34BFA409" w14:textId="77777777" w:rsidR="007E0227" w:rsidRPr="0040430A" w:rsidRDefault="007E0227" w:rsidP="007E0227">
            <w:pPr>
              <w:spacing w:after="0" w:line="240" w:lineRule="auto"/>
              <w:rPr>
                <w:rFonts w:ascii="Segoe UI" w:hAnsi="Segoe UI" w:cs="Segoe UI"/>
                <w:sz w:val="24"/>
                <w:szCs w:val="24"/>
              </w:rPr>
            </w:pPr>
          </w:p>
          <w:p w14:paraId="3704BB9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WAC 246-244-160</w:t>
            </w:r>
          </w:p>
          <w:p w14:paraId="4B9CA2C2" w14:textId="77777777" w:rsidR="007E0227" w:rsidRPr="0040430A" w:rsidRDefault="007E0227" w:rsidP="007E0227">
            <w:pPr>
              <w:spacing w:after="0" w:line="240" w:lineRule="auto"/>
              <w:rPr>
                <w:rFonts w:ascii="Segoe UI" w:hAnsi="Segoe UI" w:cs="Segoe UI"/>
                <w:sz w:val="24"/>
                <w:szCs w:val="24"/>
              </w:rPr>
            </w:pPr>
          </w:p>
          <w:p w14:paraId="3E0E9E07"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RATS#2020-1</w:t>
            </w:r>
          </w:p>
          <w:p w14:paraId="640A8D2E" w14:textId="77777777" w:rsidR="007E0227" w:rsidRPr="0040430A" w:rsidRDefault="007E0227" w:rsidP="007E0227">
            <w:pPr>
              <w:spacing w:after="0" w:line="240" w:lineRule="auto"/>
              <w:rPr>
                <w:rFonts w:ascii="Segoe UI" w:hAnsi="Segoe UI" w:cs="Segoe UI"/>
                <w:sz w:val="24"/>
                <w:szCs w:val="24"/>
              </w:rPr>
            </w:pPr>
          </w:p>
          <w:p w14:paraId="531CDAB2" w14:textId="17AAF210"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85 FR 15347</w:t>
            </w:r>
          </w:p>
        </w:tc>
        <w:tc>
          <w:tcPr>
            <w:tcW w:w="2700" w:type="dxa"/>
            <w:tcBorders>
              <w:top w:val="single" w:sz="8" w:space="0" w:color="000000"/>
              <w:left w:val="single" w:sz="8" w:space="0" w:color="000000"/>
              <w:bottom w:val="double" w:sz="6" w:space="0" w:color="000000"/>
              <w:right w:val="single" w:sz="8" w:space="0" w:color="000000"/>
            </w:tcBorders>
          </w:tcPr>
          <w:p w14:paraId="66F8DFB6"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34.47</w:t>
            </w:r>
          </w:p>
          <w:p w14:paraId="6BD1E691" w14:textId="74AB39BB"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Personnel monitoring</w:t>
            </w:r>
          </w:p>
        </w:tc>
        <w:tc>
          <w:tcPr>
            <w:tcW w:w="5310" w:type="dxa"/>
            <w:tcBorders>
              <w:top w:val="single" w:sz="8" w:space="0" w:color="000000"/>
              <w:left w:val="single" w:sz="8" w:space="0" w:color="000000"/>
              <w:bottom w:val="double" w:sz="6" w:space="0" w:color="000000"/>
              <w:right w:val="single" w:sz="8" w:space="0" w:color="000000"/>
            </w:tcBorders>
          </w:tcPr>
          <w:p w14:paraId="14FEBFED" w14:textId="1CA472B9"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In § 34.47:</w:t>
            </w:r>
          </w:p>
          <w:p w14:paraId="0C1591B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a. In paragraph (a) introductory text remove the phrase “that is processed and evaluated by an accredited National Voluntary Laboratory Accreditation Program (NVLAP) processor”; </w:t>
            </w:r>
          </w:p>
          <w:p w14:paraId="32849A56"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b. Revise paragraph (a)(3); </w:t>
            </w:r>
          </w:p>
          <w:p w14:paraId="2421A232"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c. Remove paragraph (a)(4); and</w:t>
            </w:r>
          </w:p>
          <w:p w14:paraId="3958208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d. Revise paragraphs (d) and (f).   </w:t>
            </w:r>
          </w:p>
          <w:p w14:paraId="04E5602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 to read as follows:</w:t>
            </w:r>
          </w:p>
          <w:p w14:paraId="6EA72C22" w14:textId="77777777" w:rsidR="007E0227" w:rsidRPr="0040430A" w:rsidRDefault="007E0227" w:rsidP="007E0227">
            <w:pPr>
              <w:spacing w:after="0" w:line="240" w:lineRule="auto"/>
              <w:rPr>
                <w:rFonts w:ascii="Segoe UI" w:hAnsi="Segoe UI" w:cs="Segoe UI"/>
                <w:sz w:val="24"/>
                <w:szCs w:val="24"/>
              </w:rPr>
            </w:pPr>
          </w:p>
          <w:p w14:paraId="1E54FE61"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(a) *     *     * </w:t>
            </w:r>
          </w:p>
          <w:p w14:paraId="3DAF839D" w14:textId="77777777" w:rsidR="007E0227" w:rsidRPr="0040430A" w:rsidRDefault="007E0227" w:rsidP="007E0227">
            <w:pPr>
              <w:spacing w:after="0" w:line="240" w:lineRule="auto"/>
              <w:rPr>
                <w:rFonts w:ascii="Segoe UI" w:hAnsi="Segoe UI" w:cs="Segoe UI"/>
                <w:sz w:val="24"/>
                <w:szCs w:val="24"/>
              </w:rPr>
            </w:pPr>
            <w:bookmarkStart w:id="3" w:name="_Hlk25064413"/>
            <w:r w:rsidRPr="0040430A">
              <w:rPr>
                <w:rFonts w:ascii="Segoe UI" w:hAnsi="Segoe UI" w:cs="Segoe UI"/>
                <w:sz w:val="24"/>
                <w:szCs w:val="24"/>
              </w:rPr>
              <w:t xml:space="preserve">(3) </w:t>
            </w:r>
            <w:bookmarkStart w:id="4" w:name="_Hlk25041362"/>
            <w:r w:rsidRPr="0040430A">
              <w:rPr>
                <w:rFonts w:ascii="Segoe UI" w:hAnsi="Segoe UI" w:cs="Segoe UI"/>
                <w:sz w:val="24"/>
                <w:szCs w:val="24"/>
              </w:rPr>
              <w:t>Film badges must be replaced at least monthly and all other personnel dosimeters that require replacement must be replaced at least quarterly</w:t>
            </w:r>
            <w:bookmarkStart w:id="5" w:name="_Hlk30508874"/>
            <w:r w:rsidRPr="0040430A">
              <w:rPr>
                <w:rFonts w:ascii="Segoe UI" w:hAnsi="Segoe UI" w:cs="Segoe UI"/>
                <w:sz w:val="24"/>
                <w:szCs w:val="24"/>
              </w:rPr>
              <w:t xml:space="preserve">.  </w:t>
            </w:r>
            <w:bookmarkStart w:id="6" w:name="_Hlk59460319"/>
            <w:bookmarkEnd w:id="3"/>
            <w:bookmarkEnd w:id="4"/>
            <w:bookmarkEnd w:id="5"/>
            <w:r w:rsidRPr="0040430A">
              <w:rPr>
                <w:rFonts w:ascii="Segoe UI" w:hAnsi="Segoe UI" w:cs="Segoe UI"/>
                <w:sz w:val="24"/>
                <w:szCs w:val="24"/>
              </w:rPr>
              <w:t>All personnel dosimeters must be evaluated at least quarterly or promptly after replacement, whichever is more frequent.</w:t>
            </w:r>
          </w:p>
          <w:bookmarkEnd w:id="6"/>
          <w:p w14:paraId="1158F69B"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1CF9403F"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 xml:space="preserve">(d) </w:t>
            </w:r>
            <w:bookmarkStart w:id="7" w:name="_Hlk59518752"/>
            <w:r w:rsidRPr="0040430A">
              <w:rPr>
                <w:rFonts w:ascii="Segoe UI" w:hAnsi="Segoe UI" w:cs="Segoe UI"/>
                <w:sz w:val="24"/>
                <w:szCs w:val="24"/>
              </w:rPr>
              <w:t xml:space="preserve">If an individual’s pocket chamber is found to be off-scale, or if his or her electronic personal dosimeter reads greater than 2 millisieverts (200 millirems), and the possibility of radiation exposure cannot be ruled out as the cause, the individual’s personnel dosimeter that requires processing must be sent for processing and evaluation within 24 hours.  For personnel dosimeters that do not require processing, evaluation of the dosimeter must be started within 24 hours.  In addition, the individual may not resume work associated with licensed material use until a determination of the individual’s radiation dose has been made.  This determination must be made by the RSO or the RSO's designee.  The results of this determination must be included in the records maintained in accordance with § 34.83. </w:t>
            </w:r>
            <w:bookmarkEnd w:id="7"/>
          </w:p>
          <w:p w14:paraId="2122839C"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441FBF87"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lastRenderedPageBreak/>
              <w:t>(f) Dosimetry results must be retained in accordance with § 34.83.</w:t>
            </w:r>
          </w:p>
          <w:p w14:paraId="11037F4E" w14:textId="77777777" w:rsidR="007E0227" w:rsidRPr="0040430A" w:rsidRDefault="007E0227" w:rsidP="007E0227">
            <w:pPr>
              <w:spacing w:after="0" w:line="240" w:lineRule="auto"/>
              <w:rPr>
                <w:rFonts w:ascii="Segoe UI" w:hAnsi="Segoe UI" w:cs="Segoe UI"/>
                <w:sz w:val="24"/>
                <w:szCs w:val="24"/>
              </w:rPr>
            </w:pPr>
            <w:r w:rsidRPr="0040430A">
              <w:rPr>
                <w:rFonts w:ascii="Segoe UI" w:hAnsi="Segoe UI" w:cs="Segoe UI"/>
                <w:sz w:val="24"/>
                <w:szCs w:val="24"/>
              </w:rPr>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r w:rsidRPr="0040430A">
              <w:rPr>
                <w:rFonts w:ascii="Segoe UI" w:hAnsi="Segoe UI" w:cs="Segoe UI"/>
                <w:sz w:val="24"/>
                <w:szCs w:val="24"/>
              </w:rPr>
              <w:tab/>
              <w:t>*</w:t>
            </w:r>
          </w:p>
          <w:p w14:paraId="4E377DF8" w14:textId="77777777" w:rsidR="007E0227" w:rsidRPr="0040430A" w:rsidRDefault="007E0227" w:rsidP="007E0227">
            <w:pPr>
              <w:spacing w:after="0" w:line="240" w:lineRule="auto"/>
              <w:rPr>
                <w:rFonts w:ascii="Segoe UI" w:hAnsi="Segoe UI" w:cs="Segoe UI"/>
                <w:sz w:val="24"/>
                <w:szCs w:val="24"/>
              </w:rPr>
            </w:pPr>
          </w:p>
        </w:tc>
      </w:tr>
    </w:tbl>
    <w:p w14:paraId="2A46AC1A" w14:textId="77777777" w:rsidR="00147431" w:rsidRPr="0006293F" w:rsidRDefault="00147431" w:rsidP="00F40529">
      <w:pPr>
        <w:spacing w:after="0" w:line="240" w:lineRule="auto"/>
        <w:rPr>
          <w:rFonts w:ascii="Times New Roman" w:hAnsi="Times New Roman" w:cs="Times New Roman"/>
          <w:sz w:val="24"/>
          <w:szCs w:val="24"/>
        </w:rPr>
      </w:pPr>
    </w:p>
    <w:p w14:paraId="7445263A" w14:textId="77777777" w:rsidR="006C3D7C" w:rsidRPr="0006293F" w:rsidRDefault="006C3D7C" w:rsidP="00F40529">
      <w:pPr>
        <w:spacing w:after="0" w:line="240" w:lineRule="auto"/>
        <w:rPr>
          <w:rFonts w:ascii="Times New Roman" w:hAnsi="Times New Roman" w:cs="Times New Roman"/>
          <w:sz w:val="24"/>
          <w:szCs w:val="24"/>
        </w:rPr>
      </w:pPr>
    </w:p>
    <w:sectPr w:rsidR="006C3D7C" w:rsidRPr="0006293F" w:rsidSect="00FD3BC9">
      <w:footerReference w:type="default" r:id="rId14"/>
      <w:pgSz w:w="12240" w:h="20160" w:code="5"/>
      <w:pgMar w:top="1440" w:right="36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961A" w14:textId="77777777" w:rsidR="0055151E" w:rsidRDefault="0055151E" w:rsidP="007036A0">
      <w:pPr>
        <w:spacing w:after="0" w:line="240" w:lineRule="auto"/>
      </w:pPr>
      <w:r>
        <w:separator/>
      </w:r>
    </w:p>
  </w:endnote>
  <w:endnote w:type="continuationSeparator" w:id="0">
    <w:p w14:paraId="5E7D2A5B" w14:textId="77777777" w:rsidR="0055151E" w:rsidRDefault="0055151E" w:rsidP="007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7B22" w14:textId="6371CC0C" w:rsidR="007036A0" w:rsidRPr="007036A0" w:rsidRDefault="007036A0" w:rsidP="00B45269">
    <w:pPr>
      <w:pStyle w:val="Footer"/>
      <w:tabs>
        <w:tab w:val="clear" w:pos="9360"/>
        <w:tab w:val="right" w:pos="16830"/>
      </w:tabs>
      <w:rPr>
        <w:rFonts w:ascii="Times New Roman" w:hAnsi="Times New Roman" w:cs="Times New Roman"/>
        <w:sz w:val="20"/>
        <w:szCs w:val="20"/>
      </w:rPr>
    </w:pPr>
    <w:r w:rsidRPr="007036A0">
      <w:rPr>
        <w:rFonts w:ascii="Times New Roman" w:hAnsi="Times New Roman" w:cs="Times New Roman"/>
        <w:sz w:val="20"/>
        <w:szCs w:val="20"/>
      </w:rPr>
      <w:t xml:space="preserve">Page </w:t>
    </w:r>
    <w:r w:rsidRPr="007036A0">
      <w:rPr>
        <w:rFonts w:ascii="Times New Roman" w:hAnsi="Times New Roman" w:cs="Times New Roman"/>
        <w:bCs/>
        <w:sz w:val="20"/>
        <w:szCs w:val="20"/>
      </w:rPr>
      <w:fldChar w:fldCharType="begin"/>
    </w:r>
    <w:r w:rsidRPr="007036A0">
      <w:rPr>
        <w:rFonts w:ascii="Times New Roman" w:hAnsi="Times New Roman" w:cs="Times New Roman"/>
        <w:bCs/>
        <w:sz w:val="20"/>
        <w:szCs w:val="20"/>
      </w:rPr>
      <w:instrText xml:space="preserve"> PAGE  \* Arabic  \* MERGEFORMAT </w:instrText>
    </w:r>
    <w:r w:rsidRPr="007036A0">
      <w:rPr>
        <w:rFonts w:ascii="Times New Roman" w:hAnsi="Times New Roman" w:cs="Times New Roman"/>
        <w:bCs/>
        <w:sz w:val="20"/>
        <w:szCs w:val="20"/>
      </w:rPr>
      <w:fldChar w:fldCharType="separate"/>
    </w:r>
    <w:r w:rsidR="00453A5D">
      <w:rPr>
        <w:rFonts w:ascii="Times New Roman" w:hAnsi="Times New Roman" w:cs="Times New Roman"/>
        <w:bCs/>
        <w:noProof/>
        <w:sz w:val="20"/>
        <w:szCs w:val="20"/>
      </w:rPr>
      <w:t>2</w:t>
    </w:r>
    <w:r w:rsidRPr="007036A0">
      <w:rPr>
        <w:rFonts w:ascii="Times New Roman" w:hAnsi="Times New Roman" w:cs="Times New Roman"/>
        <w:bCs/>
        <w:sz w:val="20"/>
        <w:szCs w:val="20"/>
      </w:rPr>
      <w:fldChar w:fldCharType="end"/>
    </w:r>
    <w:r w:rsidRPr="007036A0">
      <w:rPr>
        <w:rFonts w:ascii="Times New Roman" w:hAnsi="Times New Roman" w:cs="Times New Roman"/>
        <w:sz w:val="20"/>
        <w:szCs w:val="20"/>
      </w:rPr>
      <w:t xml:space="preserve"> of </w:t>
    </w:r>
    <w:r w:rsidRPr="007036A0">
      <w:rPr>
        <w:rFonts w:ascii="Times New Roman" w:hAnsi="Times New Roman" w:cs="Times New Roman"/>
        <w:bCs/>
        <w:sz w:val="20"/>
        <w:szCs w:val="20"/>
      </w:rPr>
      <w:fldChar w:fldCharType="begin"/>
    </w:r>
    <w:r w:rsidRPr="007036A0">
      <w:rPr>
        <w:rFonts w:ascii="Times New Roman" w:hAnsi="Times New Roman" w:cs="Times New Roman"/>
        <w:bCs/>
        <w:sz w:val="20"/>
        <w:szCs w:val="20"/>
      </w:rPr>
      <w:instrText xml:space="preserve"> NUMPAGES  \* Arabic  \* MERGEFORMAT </w:instrText>
    </w:r>
    <w:r w:rsidRPr="007036A0">
      <w:rPr>
        <w:rFonts w:ascii="Times New Roman" w:hAnsi="Times New Roman" w:cs="Times New Roman"/>
        <w:bCs/>
        <w:sz w:val="20"/>
        <w:szCs w:val="20"/>
      </w:rPr>
      <w:fldChar w:fldCharType="separate"/>
    </w:r>
    <w:r w:rsidR="00453A5D">
      <w:rPr>
        <w:rFonts w:ascii="Times New Roman" w:hAnsi="Times New Roman" w:cs="Times New Roman"/>
        <w:bCs/>
        <w:noProof/>
        <w:sz w:val="20"/>
        <w:szCs w:val="20"/>
      </w:rPr>
      <w:t>21</w:t>
    </w:r>
    <w:r w:rsidRPr="007036A0">
      <w:rPr>
        <w:rFonts w:ascii="Times New Roman" w:hAnsi="Times New Roman" w:cs="Times New Roman"/>
        <w:bCs/>
        <w:sz w:val="20"/>
        <w:szCs w:val="20"/>
      </w:rPr>
      <w:fldChar w:fldCharType="end"/>
    </w:r>
    <w:r>
      <w:rPr>
        <w:rFonts w:ascii="Times New Roman" w:hAnsi="Times New Roman" w:cs="Times New Roman"/>
        <w:bCs/>
        <w:sz w:val="20"/>
        <w:szCs w:val="20"/>
      </w:rPr>
      <w:tab/>
    </w:r>
    <w:r>
      <w:rPr>
        <w:rFonts w:ascii="Times New Roman" w:hAnsi="Times New Roman" w:cs="Times New Roman"/>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E4D5" w14:textId="77777777" w:rsidR="0055151E" w:rsidRDefault="0055151E" w:rsidP="007036A0">
      <w:pPr>
        <w:spacing w:after="0" w:line="240" w:lineRule="auto"/>
      </w:pPr>
      <w:r>
        <w:separator/>
      </w:r>
    </w:p>
  </w:footnote>
  <w:footnote w:type="continuationSeparator" w:id="0">
    <w:p w14:paraId="448B4EB1" w14:textId="77777777" w:rsidR="0055151E" w:rsidRDefault="0055151E" w:rsidP="00703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D6F"/>
    <w:multiLevelType w:val="hybridMultilevel"/>
    <w:tmpl w:val="160C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31"/>
    <w:rsid w:val="00016778"/>
    <w:rsid w:val="00030019"/>
    <w:rsid w:val="0003675B"/>
    <w:rsid w:val="00047089"/>
    <w:rsid w:val="00055E84"/>
    <w:rsid w:val="00061561"/>
    <w:rsid w:val="0006241D"/>
    <w:rsid w:val="0006293F"/>
    <w:rsid w:val="00065A5A"/>
    <w:rsid w:val="00073B99"/>
    <w:rsid w:val="000875E7"/>
    <w:rsid w:val="0009589F"/>
    <w:rsid w:val="000A0C56"/>
    <w:rsid w:val="000A1569"/>
    <w:rsid w:val="000A5051"/>
    <w:rsid w:val="000D7EAE"/>
    <w:rsid w:val="000E6205"/>
    <w:rsid w:val="001252C6"/>
    <w:rsid w:val="00141786"/>
    <w:rsid w:val="00147431"/>
    <w:rsid w:val="00155819"/>
    <w:rsid w:val="00156BFF"/>
    <w:rsid w:val="00172F8C"/>
    <w:rsid w:val="001B328D"/>
    <w:rsid w:val="001B4165"/>
    <w:rsid w:val="001D27FF"/>
    <w:rsid w:val="001F33C8"/>
    <w:rsid w:val="00221510"/>
    <w:rsid w:val="00232762"/>
    <w:rsid w:val="00243EBF"/>
    <w:rsid w:val="0025513E"/>
    <w:rsid w:val="002564E8"/>
    <w:rsid w:val="00257B87"/>
    <w:rsid w:val="002844A4"/>
    <w:rsid w:val="00296439"/>
    <w:rsid w:val="002A412E"/>
    <w:rsid w:val="002A7D56"/>
    <w:rsid w:val="002B28C4"/>
    <w:rsid w:val="002C1EFE"/>
    <w:rsid w:val="002D5367"/>
    <w:rsid w:val="002E5EF5"/>
    <w:rsid w:val="002E61B6"/>
    <w:rsid w:val="00300294"/>
    <w:rsid w:val="003402CF"/>
    <w:rsid w:val="00352BA4"/>
    <w:rsid w:val="00354D53"/>
    <w:rsid w:val="003642CD"/>
    <w:rsid w:val="0037530B"/>
    <w:rsid w:val="0037722F"/>
    <w:rsid w:val="003A00B6"/>
    <w:rsid w:val="003B7FB5"/>
    <w:rsid w:val="003C1387"/>
    <w:rsid w:val="003F3FD4"/>
    <w:rsid w:val="004040D3"/>
    <w:rsid w:val="0040430A"/>
    <w:rsid w:val="00411836"/>
    <w:rsid w:val="004310F3"/>
    <w:rsid w:val="004369C7"/>
    <w:rsid w:val="00446C08"/>
    <w:rsid w:val="00453A5D"/>
    <w:rsid w:val="004571F9"/>
    <w:rsid w:val="0048033F"/>
    <w:rsid w:val="00494711"/>
    <w:rsid w:val="00497B21"/>
    <w:rsid w:val="004C7FB8"/>
    <w:rsid w:val="004E195D"/>
    <w:rsid w:val="004E3A59"/>
    <w:rsid w:val="004F1305"/>
    <w:rsid w:val="005253DC"/>
    <w:rsid w:val="0052560A"/>
    <w:rsid w:val="0055151E"/>
    <w:rsid w:val="00556270"/>
    <w:rsid w:val="005A73CD"/>
    <w:rsid w:val="005D1EF5"/>
    <w:rsid w:val="005E294A"/>
    <w:rsid w:val="005E65DD"/>
    <w:rsid w:val="005E72AF"/>
    <w:rsid w:val="005F4D04"/>
    <w:rsid w:val="00600BF3"/>
    <w:rsid w:val="006048D7"/>
    <w:rsid w:val="00606422"/>
    <w:rsid w:val="00622BD1"/>
    <w:rsid w:val="0064018D"/>
    <w:rsid w:val="00652AD0"/>
    <w:rsid w:val="00653B6C"/>
    <w:rsid w:val="00653C84"/>
    <w:rsid w:val="00665B8B"/>
    <w:rsid w:val="00672D22"/>
    <w:rsid w:val="00673032"/>
    <w:rsid w:val="00695E9A"/>
    <w:rsid w:val="006C3D7C"/>
    <w:rsid w:val="006D1165"/>
    <w:rsid w:val="006D4D01"/>
    <w:rsid w:val="006D4D19"/>
    <w:rsid w:val="006D67DA"/>
    <w:rsid w:val="006F2012"/>
    <w:rsid w:val="006F7F22"/>
    <w:rsid w:val="007036A0"/>
    <w:rsid w:val="0071072B"/>
    <w:rsid w:val="007360E3"/>
    <w:rsid w:val="0075091B"/>
    <w:rsid w:val="0075249C"/>
    <w:rsid w:val="00754CBF"/>
    <w:rsid w:val="0078662E"/>
    <w:rsid w:val="007A2788"/>
    <w:rsid w:val="007D413C"/>
    <w:rsid w:val="007E0227"/>
    <w:rsid w:val="007E43AB"/>
    <w:rsid w:val="007F53F2"/>
    <w:rsid w:val="008005C2"/>
    <w:rsid w:val="00811747"/>
    <w:rsid w:val="00830951"/>
    <w:rsid w:val="008321AB"/>
    <w:rsid w:val="00836DEE"/>
    <w:rsid w:val="0085653A"/>
    <w:rsid w:val="00870E70"/>
    <w:rsid w:val="008930A6"/>
    <w:rsid w:val="008B446E"/>
    <w:rsid w:val="008E7B1C"/>
    <w:rsid w:val="00916104"/>
    <w:rsid w:val="00917539"/>
    <w:rsid w:val="00926A27"/>
    <w:rsid w:val="00926DC4"/>
    <w:rsid w:val="0093384C"/>
    <w:rsid w:val="00941777"/>
    <w:rsid w:val="00977F0E"/>
    <w:rsid w:val="00987397"/>
    <w:rsid w:val="009A095C"/>
    <w:rsid w:val="009A139F"/>
    <w:rsid w:val="009A60E1"/>
    <w:rsid w:val="009A6842"/>
    <w:rsid w:val="009D1993"/>
    <w:rsid w:val="009D2E9A"/>
    <w:rsid w:val="009D4575"/>
    <w:rsid w:val="009E6186"/>
    <w:rsid w:val="00A076BD"/>
    <w:rsid w:val="00A33777"/>
    <w:rsid w:val="00A5129E"/>
    <w:rsid w:val="00A56875"/>
    <w:rsid w:val="00A640C8"/>
    <w:rsid w:val="00A67AD9"/>
    <w:rsid w:val="00AC0592"/>
    <w:rsid w:val="00AC0C35"/>
    <w:rsid w:val="00AC0CF0"/>
    <w:rsid w:val="00AC364C"/>
    <w:rsid w:val="00AD4942"/>
    <w:rsid w:val="00AE0B1A"/>
    <w:rsid w:val="00AE4BC9"/>
    <w:rsid w:val="00AF51BC"/>
    <w:rsid w:val="00AF57A7"/>
    <w:rsid w:val="00B37D35"/>
    <w:rsid w:val="00B45269"/>
    <w:rsid w:val="00B6251E"/>
    <w:rsid w:val="00B63EDC"/>
    <w:rsid w:val="00B821CD"/>
    <w:rsid w:val="00B92EE5"/>
    <w:rsid w:val="00B94380"/>
    <w:rsid w:val="00BA2175"/>
    <w:rsid w:val="00BE1F68"/>
    <w:rsid w:val="00BF47FA"/>
    <w:rsid w:val="00BF7F53"/>
    <w:rsid w:val="00C04CD2"/>
    <w:rsid w:val="00C15873"/>
    <w:rsid w:val="00C24B65"/>
    <w:rsid w:val="00C250B5"/>
    <w:rsid w:val="00C345C9"/>
    <w:rsid w:val="00C36ABF"/>
    <w:rsid w:val="00C709CF"/>
    <w:rsid w:val="00C9182B"/>
    <w:rsid w:val="00C94CED"/>
    <w:rsid w:val="00C9578D"/>
    <w:rsid w:val="00C962B8"/>
    <w:rsid w:val="00CC7217"/>
    <w:rsid w:val="00CE4EBB"/>
    <w:rsid w:val="00CF2E7D"/>
    <w:rsid w:val="00CF6579"/>
    <w:rsid w:val="00D0615C"/>
    <w:rsid w:val="00D15856"/>
    <w:rsid w:val="00D1596D"/>
    <w:rsid w:val="00D30FBB"/>
    <w:rsid w:val="00D359DD"/>
    <w:rsid w:val="00D45DC8"/>
    <w:rsid w:val="00D564C7"/>
    <w:rsid w:val="00D7151E"/>
    <w:rsid w:val="00D83F9C"/>
    <w:rsid w:val="00D912C4"/>
    <w:rsid w:val="00DC7D8A"/>
    <w:rsid w:val="00DE1DEB"/>
    <w:rsid w:val="00DE2032"/>
    <w:rsid w:val="00DE31EF"/>
    <w:rsid w:val="00E1792A"/>
    <w:rsid w:val="00E273D4"/>
    <w:rsid w:val="00E302AF"/>
    <w:rsid w:val="00E36D36"/>
    <w:rsid w:val="00EA34ED"/>
    <w:rsid w:val="00EB4183"/>
    <w:rsid w:val="00EC4F8B"/>
    <w:rsid w:val="00ED284C"/>
    <w:rsid w:val="00F23577"/>
    <w:rsid w:val="00F3376F"/>
    <w:rsid w:val="00F40529"/>
    <w:rsid w:val="00F4052A"/>
    <w:rsid w:val="00F47409"/>
    <w:rsid w:val="00F5660E"/>
    <w:rsid w:val="00F943D7"/>
    <w:rsid w:val="00F94BC9"/>
    <w:rsid w:val="00F966A8"/>
    <w:rsid w:val="00FA66BD"/>
    <w:rsid w:val="00FD3BC9"/>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30D3A"/>
  <w15:chartTrackingRefBased/>
  <w15:docId w15:val="{7B2BD4EC-9818-45A2-9B34-9AD337BE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36A0"/>
    <w:rPr>
      <w:color w:val="0000FF"/>
      <w:u w:val="single"/>
    </w:rPr>
  </w:style>
  <w:style w:type="paragraph" w:styleId="Header">
    <w:name w:val="header"/>
    <w:basedOn w:val="Normal"/>
    <w:link w:val="HeaderChar"/>
    <w:uiPriority w:val="99"/>
    <w:unhideWhenUsed/>
    <w:rsid w:val="007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6A0"/>
  </w:style>
  <w:style w:type="paragraph" w:styleId="Footer">
    <w:name w:val="footer"/>
    <w:basedOn w:val="Normal"/>
    <w:link w:val="FooterChar"/>
    <w:uiPriority w:val="99"/>
    <w:unhideWhenUsed/>
    <w:rsid w:val="007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6A0"/>
  </w:style>
  <w:style w:type="paragraph" w:styleId="BalloonText">
    <w:name w:val="Balloon Text"/>
    <w:basedOn w:val="Normal"/>
    <w:link w:val="BalloonTextChar"/>
    <w:uiPriority w:val="99"/>
    <w:semiHidden/>
    <w:unhideWhenUsed/>
    <w:rsid w:val="0045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5D"/>
    <w:rPr>
      <w:rFonts w:ascii="Segoe UI" w:hAnsi="Segoe UI" w:cs="Segoe UI"/>
      <w:sz w:val="18"/>
      <w:szCs w:val="18"/>
    </w:rPr>
  </w:style>
  <w:style w:type="character" w:styleId="UnresolvedMention">
    <w:name w:val="Unresolved Mention"/>
    <w:basedOn w:val="DefaultParagraphFont"/>
    <w:uiPriority w:val="99"/>
    <w:semiHidden/>
    <w:unhideWhenUsed/>
    <w:rsid w:val="00B37D35"/>
    <w:rPr>
      <w:color w:val="605E5C"/>
      <w:shd w:val="clear" w:color="auto" w:fill="E1DFDD"/>
    </w:rPr>
  </w:style>
  <w:style w:type="paragraph" w:styleId="ListParagraph">
    <w:name w:val="List Paragraph"/>
    <w:basedOn w:val="Normal"/>
    <w:uiPriority w:val="34"/>
    <w:qFormat/>
    <w:rsid w:val="00830951"/>
    <w:pPr>
      <w:ind w:left="720"/>
      <w:contextualSpacing/>
    </w:pPr>
  </w:style>
  <w:style w:type="character" w:styleId="FollowedHyperlink">
    <w:name w:val="FollowedHyperlink"/>
    <w:basedOn w:val="DefaultParagraphFont"/>
    <w:uiPriority w:val="99"/>
    <w:semiHidden/>
    <w:unhideWhenUsed/>
    <w:rsid w:val="00710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A.388.040" TargetMode="External"/><Relationship Id="rId13" Type="http://schemas.openxmlformats.org/officeDocument/2006/relationships/hyperlink" Target="https://www.nrc.gov/security/ch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mhist.Resource@nr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gov/security/chp.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SVS.Resource@nrc.gov" TargetMode="External"/><Relationship Id="rId4" Type="http://schemas.openxmlformats.org/officeDocument/2006/relationships/webSettings" Target="webSettings.xml"/><Relationship Id="rId9" Type="http://schemas.openxmlformats.org/officeDocument/2006/relationships/hyperlink" Target="https://app.leg.wa.gov/rcw/default.aspx?cite=70A.388.1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Michelle (DOH)</dc:creator>
  <cp:keywords/>
  <dc:description/>
  <cp:lastModifiedBy>Hamilton, Ben  (DOH)</cp:lastModifiedBy>
  <cp:revision>2</cp:revision>
  <cp:lastPrinted>2016-10-25T18:13:00Z</cp:lastPrinted>
  <dcterms:created xsi:type="dcterms:W3CDTF">2022-03-01T23:21:00Z</dcterms:created>
  <dcterms:modified xsi:type="dcterms:W3CDTF">2022-03-01T23:21:00Z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2022-01-24T22:57:04Z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8a900ece-7aa2-4bed-8eb3-01ab28d09456</vt:lpwstr>
  </property>
  <property fmtid="{D5CDD505-2E9C-101B-9397-08002B2CF9AE}" pid="8" name="MSIP_Label_1520fa42-cf58-4c22-8b93-58cf1d3bd1cb_ContentBits">
    <vt:lpwstr>0</vt:lpwstr>
  </property>
</Properties>
</file>