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6269E" w14:textId="77777777" w:rsidR="00FD257A" w:rsidRPr="00B60AAD" w:rsidRDefault="00FD257A" w:rsidP="002E270F">
      <w:pPr>
        <w:pStyle w:val="NoSpacing"/>
        <w:rPr>
          <w:b/>
          <w:bCs/>
          <w:sz w:val="24"/>
          <w:szCs w:val="24"/>
        </w:rPr>
      </w:pPr>
      <w:r w:rsidRPr="00B60AAD">
        <w:rPr>
          <w:b/>
          <w:bCs/>
          <w:sz w:val="24"/>
          <w:szCs w:val="24"/>
        </w:rPr>
        <w:t>Economic Impact Analysis Fee Adjustment Report</w:t>
      </w:r>
    </w:p>
    <w:p w14:paraId="1102F935" w14:textId="21EDB3D9" w:rsidR="00FD257A" w:rsidRPr="00B60AAD" w:rsidRDefault="00FD257A" w:rsidP="002E270F">
      <w:pPr>
        <w:pStyle w:val="NoSpacing"/>
        <w:rPr>
          <w:b/>
          <w:bCs/>
          <w:sz w:val="24"/>
          <w:szCs w:val="24"/>
        </w:rPr>
      </w:pPr>
      <w:r w:rsidRPr="00B60AAD">
        <w:rPr>
          <w:b/>
          <w:bCs/>
          <w:sz w:val="24"/>
          <w:szCs w:val="24"/>
        </w:rPr>
        <w:t xml:space="preserve">Office of </w:t>
      </w:r>
      <w:r w:rsidR="00592FDD">
        <w:rPr>
          <w:b/>
          <w:bCs/>
          <w:sz w:val="24"/>
          <w:szCs w:val="24"/>
        </w:rPr>
        <w:t>Drinking Water</w:t>
      </w:r>
      <w:r w:rsidR="005F5460">
        <w:rPr>
          <w:b/>
          <w:bCs/>
          <w:sz w:val="24"/>
          <w:szCs w:val="24"/>
        </w:rPr>
        <w:t xml:space="preserve"> </w:t>
      </w:r>
    </w:p>
    <w:p w14:paraId="2D7AE26A" w14:textId="6684C41E" w:rsidR="00FD257A" w:rsidRPr="00B60AAD" w:rsidRDefault="005F5460" w:rsidP="002E270F">
      <w:pPr>
        <w:pStyle w:val="NoSpacing"/>
        <w:rPr>
          <w:b/>
          <w:bCs/>
          <w:sz w:val="24"/>
          <w:szCs w:val="24"/>
        </w:rPr>
      </w:pPr>
      <w:r>
        <w:rPr>
          <w:b/>
          <w:bCs/>
          <w:sz w:val="24"/>
          <w:szCs w:val="24"/>
        </w:rPr>
        <w:t>July 2025</w:t>
      </w:r>
    </w:p>
    <w:sdt>
      <w:sdtPr>
        <w:rPr>
          <w:rFonts w:ascii="Calibri" w:eastAsia="Times New Roman" w:hAnsi="Calibri" w:cs="Calibri"/>
          <w:color w:val="000000"/>
          <w:kern w:val="28"/>
          <w:sz w:val="20"/>
          <w:szCs w:val="20"/>
          <w14:ligatures w14:val="standard"/>
          <w14:cntxtAlts/>
        </w:rPr>
        <w:id w:val="1743686027"/>
        <w:docPartObj>
          <w:docPartGallery w:val="Table of Contents"/>
          <w:docPartUnique/>
        </w:docPartObj>
      </w:sdtPr>
      <w:sdtEndPr/>
      <w:sdtContent>
        <w:p w14:paraId="489234EC" w14:textId="2AD6DF57" w:rsidR="002E270F" w:rsidRPr="00B60AAD" w:rsidRDefault="71E842CA">
          <w:pPr>
            <w:pStyle w:val="TOCHeading"/>
            <w:rPr>
              <w:sz w:val="28"/>
              <w:szCs w:val="28"/>
            </w:rPr>
          </w:pPr>
          <w:r w:rsidRPr="4C1C12C1">
            <w:rPr>
              <w:sz w:val="28"/>
              <w:szCs w:val="28"/>
            </w:rPr>
            <w:t>Contents</w:t>
          </w:r>
        </w:p>
        <w:p w14:paraId="50CB0F4E" w14:textId="27230B05" w:rsidR="00306F16" w:rsidRDefault="009E38FA">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r>
            <w:fldChar w:fldCharType="begin"/>
          </w:r>
          <w:r w:rsidR="002E270F">
            <w:instrText>TOC \o "1-3" \z \u \h</w:instrText>
          </w:r>
          <w:r>
            <w:fldChar w:fldCharType="separate"/>
          </w:r>
          <w:hyperlink w:anchor="_Toc203026350" w:history="1">
            <w:r w:rsidR="00306F16" w:rsidRPr="00CB1E4D">
              <w:rPr>
                <w:rStyle w:val="Hyperlink"/>
                <w:noProof/>
              </w:rPr>
              <w:t>WAC 246-290-990, Water System Evaluation and Project Review and Approval Fees</w:t>
            </w:r>
            <w:r w:rsidR="00306F16">
              <w:rPr>
                <w:noProof/>
                <w:webHidden/>
              </w:rPr>
              <w:tab/>
            </w:r>
            <w:r w:rsidR="00306F16">
              <w:rPr>
                <w:noProof/>
                <w:webHidden/>
              </w:rPr>
              <w:fldChar w:fldCharType="begin"/>
            </w:r>
            <w:r w:rsidR="00306F16">
              <w:rPr>
                <w:noProof/>
                <w:webHidden/>
              </w:rPr>
              <w:instrText xml:space="preserve"> PAGEREF _Toc203026350 \h </w:instrText>
            </w:r>
            <w:r w:rsidR="00306F16">
              <w:rPr>
                <w:noProof/>
                <w:webHidden/>
              </w:rPr>
            </w:r>
            <w:r w:rsidR="00306F16">
              <w:rPr>
                <w:noProof/>
                <w:webHidden/>
              </w:rPr>
              <w:fldChar w:fldCharType="separate"/>
            </w:r>
            <w:r w:rsidR="00306F16">
              <w:rPr>
                <w:noProof/>
                <w:webHidden/>
              </w:rPr>
              <w:t>2</w:t>
            </w:r>
            <w:r w:rsidR="00306F16">
              <w:rPr>
                <w:noProof/>
                <w:webHidden/>
              </w:rPr>
              <w:fldChar w:fldCharType="end"/>
            </w:r>
          </w:hyperlink>
        </w:p>
        <w:p w14:paraId="191704D2" w14:textId="3DF44A4E" w:rsidR="00306F16" w:rsidRDefault="00306F16">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3026351" w:history="1">
            <w:r w:rsidRPr="00CB1E4D">
              <w:rPr>
                <w:rStyle w:val="Hyperlink"/>
                <w:noProof/>
              </w:rPr>
              <w:t>WAC 246-292-995, Certified Operator and Public Water System Certification Fees</w:t>
            </w:r>
            <w:r>
              <w:rPr>
                <w:noProof/>
                <w:webHidden/>
              </w:rPr>
              <w:tab/>
            </w:r>
            <w:r>
              <w:rPr>
                <w:noProof/>
                <w:webHidden/>
              </w:rPr>
              <w:fldChar w:fldCharType="begin"/>
            </w:r>
            <w:r>
              <w:rPr>
                <w:noProof/>
                <w:webHidden/>
              </w:rPr>
              <w:instrText xml:space="preserve"> PAGEREF _Toc203026351 \h </w:instrText>
            </w:r>
            <w:r>
              <w:rPr>
                <w:noProof/>
                <w:webHidden/>
              </w:rPr>
            </w:r>
            <w:r>
              <w:rPr>
                <w:noProof/>
                <w:webHidden/>
              </w:rPr>
              <w:fldChar w:fldCharType="separate"/>
            </w:r>
            <w:r>
              <w:rPr>
                <w:noProof/>
                <w:webHidden/>
              </w:rPr>
              <w:t>7</w:t>
            </w:r>
            <w:r>
              <w:rPr>
                <w:noProof/>
                <w:webHidden/>
              </w:rPr>
              <w:fldChar w:fldCharType="end"/>
            </w:r>
          </w:hyperlink>
        </w:p>
        <w:p w14:paraId="2320ABD5" w14:textId="4C0C75FA" w:rsidR="00306F16" w:rsidRDefault="00306F16">
          <w:pPr>
            <w:pStyle w:val="TOC1"/>
            <w:tabs>
              <w:tab w:val="right" w:leader="dot" w:pos="9350"/>
            </w:tabs>
            <w:rPr>
              <w:rFonts w:asciiTheme="minorHAnsi" w:eastAsiaTheme="minorEastAsia" w:hAnsiTheme="minorHAnsi" w:cstheme="minorBidi"/>
              <w:noProof/>
              <w:color w:val="auto"/>
              <w:kern w:val="2"/>
              <w:sz w:val="24"/>
              <w:szCs w:val="24"/>
              <w14:ligatures w14:val="standardContextual"/>
              <w14:cntxtAlts w14:val="0"/>
            </w:rPr>
          </w:pPr>
          <w:hyperlink w:anchor="_Toc203026352" w:history="1">
            <w:r w:rsidRPr="00CB1E4D">
              <w:rPr>
                <w:rStyle w:val="Hyperlink"/>
                <w:noProof/>
              </w:rPr>
              <w:t>WAC 246-294-070, Operating Permit Fees</w:t>
            </w:r>
            <w:r>
              <w:rPr>
                <w:noProof/>
                <w:webHidden/>
              </w:rPr>
              <w:tab/>
            </w:r>
            <w:r>
              <w:rPr>
                <w:noProof/>
                <w:webHidden/>
              </w:rPr>
              <w:fldChar w:fldCharType="begin"/>
            </w:r>
            <w:r>
              <w:rPr>
                <w:noProof/>
                <w:webHidden/>
              </w:rPr>
              <w:instrText xml:space="preserve"> PAGEREF _Toc203026352 \h </w:instrText>
            </w:r>
            <w:r>
              <w:rPr>
                <w:noProof/>
                <w:webHidden/>
              </w:rPr>
            </w:r>
            <w:r>
              <w:rPr>
                <w:noProof/>
                <w:webHidden/>
              </w:rPr>
              <w:fldChar w:fldCharType="separate"/>
            </w:r>
            <w:r>
              <w:rPr>
                <w:noProof/>
                <w:webHidden/>
              </w:rPr>
              <w:t>12</w:t>
            </w:r>
            <w:r>
              <w:rPr>
                <w:noProof/>
                <w:webHidden/>
              </w:rPr>
              <w:fldChar w:fldCharType="end"/>
            </w:r>
          </w:hyperlink>
        </w:p>
        <w:p w14:paraId="2923F083" w14:textId="376CBF0E" w:rsidR="009E38FA" w:rsidRDefault="009E38FA" w:rsidP="4C1C12C1">
          <w:pPr>
            <w:pStyle w:val="TOC1"/>
            <w:tabs>
              <w:tab w:val="right" w:leader="dot" w:pos="9345"/>
            </w:tabs>
            <w:rPr>
              <w:rStyle w:val="Hyperlink"/>
              <w:noProof/>
              <w:kern w:val="2"/>
              <w14:ligatures w14:val="standardContextual"/>
              <w14:cntxtAlts w14:val="0"/>
            </w:rPr>
          </w:pPr>
          <w:r>
            <w:fldChar w:fldCharType="end"/>
          </w:r>
        </w:p>
      </w:sdtContent>
    </w:sdt>
    <w:p w14:paraId="2C0528D6" w14:textId="400CF174" w:rsidR="002E270F" w:rsidRDefault="002E270F"/>
    <w:p w14:paraId="410D90F1" w14:textId="77777777" w:rsidR="00FD257A" w:rsidRPr="00A20B08" w:rsidRDefault="00FD257A" w:rsidP="00FD257A">
      <w:pPr>
        <w:pStyle w:val="Heading2"/>
        <w:spacing w:after="0" w:line="286" w:lineRule="auto"/>
        <w:mirrorIndents/>
        <w:rPr>
          <w:rFonts w:ascii="Times New Roman" w:hAnsi="Times New Roman"/>
          <w:color w:val="auto"/>
          <w:sz w:val="24"/>
          <w:szCs w:val="24"/>
        </w:rPr>
      </w:pPr>
    </w:p>
    <w:p w14:paraId="2F8284C3" w14:textId="77777777" w:rsidR="009C400E" w:rsidRDefault="009C400E">
      <w:pPr>
        <w:spacing w:after="160" w:line="259" w:lineRule="auto"/>
        <w:rPr>
          <w:rFonts w:ascii="Times New Roman" w:hAnsi="Times New Roman" w:cs="Times New Roman"/>
          <w:b/>
          <w:bCs/>
          <w:color w:val="auto"/>
          <w:sz w:val="24"/>
          <w:szCs w:val="24"/>
        </w:rPr>
      </w:pPr>
      <w:r>
        <w:rPr>
          <w:rFonts w:ascii="Times New Roman" w:hAnsi="Times New Roman"/>
          <w:color w:val="auto"/>
          <w:sz w:val="24"/>
          <w:szCs w:val="24"/>
        </w:rPr>
        <w:br w:type="page"/>
      </w:r>
    </w:p>
    <w:p w14:paraId="4463490B" w14:textId="13A6FF64" w:rsidR="002E270F" w:rsidRPr="00FD257A" w:rsidRDefault="71E842CA" w:rsidP="002E270F">
      <w:pPr>
        <w:pStyle w:val="Heading1"/>
        <w:spacing w:before="0"/>
      </w:pPr>
      <w:bookmarkStart w:id="0" w:name="_Toc203026350"/>
      <w:r>
        <w:lastRenderedPageBreak/>
        <w:t>WAC 246-2</w:t>
      </w:r>
      <w:r w:rsidR="010ABDFA">
        <w:t>90</w:t>
      </w:r>
      <w:r>
        <w:t xml:space="preserve">-990, </w:t>
      </w:r>
      <w:r w:rsidR="04131DA9">
        <w:t>Water System Evaluation and Project Review and Approval Fees</w:t>
      </w:r>
      <w:bookmarkEnd w:id="0"/>
    </w:p>
    <w:p w14:paraId="2102A57B" w14:textId="77777777" w:rsidR="00A20B08" w:rsidRPr="00714061" w:rsidRDefault="00A20B08" w:rsidP="09C9F506">
      <w:pPr>
        <w:pStyle w:val="NoSpacing"/>
      </w:pPr>
    </w:p>
    <w:p w14:paraId="12F8E807" w14:textId="33133A54" w:rsidR="00A20B08" w:rsidRPr="00933216" w:rsidRDefault="00A20B08" w:rsidP="006A5BBE">
      <w:pPr>
        <w:spacing w:after="0"/>
        <w:rPr>
          <w:b/>
          <w:bCs/>
          <w:sz w:val="24"/>
          <w:szCs w:val="24"/>
        </w:rPr>
      </w:pPr>
      <w:r w:rsidRPr="00933216">
        <w:rPr>
          <w:b/>
          <w:bCs/>
          <w:sz w:val="24"/>
          <w:szCs w:val="24"/>
        </w:rPr>
        <w:t>Overview</w:t>
      </w:r>
    </w:p>
    <w:p w14:paraId="70A51114" w14:textId="4EBA48AC" w:rsidR="007C3C33" w:rsidRDefault="00D27413" w:rsidP="00446102">
      <w:pPr>
        <w:spacing w:after="0"/>
        <w:mirrorIndents/>
        <w:rPr>
          <w:sz w:val="22"/>
          <w:szCs w:val="22"/>
        </w:rPr>
      </w:pPr>
      <w:r w:rsidRPr="4AB1A116">
        <w:rPr>
          <w:sz w:val="22"/>
          <w:szCs w:val="22"/>
        </w:rPr>
        <w:t>The Department of Health</w:t>
      </w:r>
      <w:r>
        <w:rPr>
          <w:sz w:val="22"/>
          <w:szCs w:val="22"/>
        </w:rPr>
        <w:t xml:space="preserve"> (Department)</w:t>
      </w:r>
      <w:r w:rsidRPr="4AB1A116">
        <w:rPr>
          <w:sz w:val="22"/>
          <w:szCs w:val="22"/>
        </w:rPr>
        <w:t xml:space="preserve">, </w:t>
      </w:r>
      <w:r w:rsidR="00285FCC">
        <w:rPr>
          <w:sz w:val="22"/>
          <w:szCs w:val="22"/>
        </w:rPr>
        <w:t>Office of Drinking Water</w:t>
      </w:r>
      <w:r w:rsidR="00BA06BC">
        <w:rPr>
          <w:sz w:val="22"/>
          <w:szCs w:val="22"/>
        </w:rPr>
        <w:t xml:space="preserve"> </w:t>
      </w:r>
      <w:r w:rsidR="00285FCC" w:rsidRPr="00285FCC">
        <w:rPr>
          <w:sz w:val="22"/>
          <w:szCs w:val="22"/>
        </w:rPr>
        <w:t>protect</w:t>
      </w:r>
      <w:r w:rsidR="00285FCC">
        <w:rPr>
          <w:sz w:val="22"/>
          <w:szCs w:val="22"/>
        </w:rPr>
        <w:t>s</w:t>
      </w:r>
      <w:r w:rsidR="00285FCC" w:rsidRPr="00285FCC">
        <w:rPr>
          <w:sz w:val="22"/>
          <w:szCs w:val="22"/>
        </w:rPr>
        <w:t xml:space="preserve"> the health of the people of Washington by </w:t>
      </w:r>
      <w:r w:rsidR="00AE4270" w:rsidRPr="72C96E24">
        <w:rPr>
          <w:sz w:val="22"/>
          <w:szCs w:val="22"/>
        </w:rPr>
        <w:t xml:space="preserve">working with others to </w:t>
      </w:r>
      <w:r w:rsidR="00285FCC" w:rsidRPr="72C96E24">
        <w:rPr>
          <w:sz w:val="22"/>
          <w:szCs w:val="22"/>
        </w:rPr>
        <w:t>ensur</w:t>
      </w:r>
      <w:r w:rsidR="00AE4270" w:rsidRPr="72C96E24">
        <w:rPr>
          <w:sz w:val="22"/>
          <w:szCs w:val="22"/>
        </w:rPr>
        <w:t>e</w:t>
      </w:r>
      <w:r w:rsidR="00285FCC" w:rsidRPr="00285FCC">
        <w:rPr>
          <w:sz w:val="22"/>
          <w:szCs w:val="22"/>
        </w:rPr>
        <w:t xml:space="preserve"> safe and reliable drinking water.</w:t>
      </w:r>
      <w:r w:rsidR="00213081">
        <w:rPr>
          <w:sz w:val="22"/>
          <w:szCs w:val="22"/>
        </w:rPr>
        <w:t xml:space="preserve"> </w:t>
      </w:r>
      <w:r w:rsidR="008E07A4">
        <w:rPr>
          <w:sz w:val="22"/>
          <w:szCs w:val="22"/>
        </w:rPr>
        <w:t>The Office of Drinking Water</w:t>
      </w:r>
      <w:r w:rsidR="00446102" w:rsidRPr="00446102">
        <w:rPr>
          <w:sz w:val="22"/>
          <w:szCs w:val="22"/>
        </w:rPr>
        <w:t xml:space="preserve"> </w:t>
      </w:r>
      <w:r w:rsidR="00EE204C">
        <w:rPr>
          <w:sz w:val="22"/>
          <w:szCs w:val="22"/>
        </w:rPr>
        <w:t>conduct</w:t>
      </w:r>
      <w:r w:rsidR="008E07A4">
        <w:rPr>
          <w:sz w:val="22"/>
          <w:szCs w:val="22"/>
        </w:rPr>
        <w:t>s</w:t>
      </w:r>
      <w:r w:rsidR="00EE204C">
        <w:rPr>
          <w:sz w:val="22"/>
          <w:szCs w:val="22"/>
        </w:rPr>
        <w:t xml:space="preserve"> water system inspections, </w:t>
      </w:r>
      <w:r w:rsidR="00C50C57">
        <w:rPr>
          <w:sz w:val="22"/>
          <w:szCs w:val="22"/>
        </w:rPr>
        <w:t>oversee</w:t>
      </w:r>
      <w:r w:rsidR="008E07A4">
        <w:rPr>
          <w:sz w:val="22"/>
          <w:szCs w:val="22"/>
        </w:rPr>
        <w:t>s</w:t>
      </w:r>
      <w:r w:rsidR="00C50C57" w:rsidRPr="00C50C57">
        <w:rPr>
          <w:sz w:val="22"/>
          <w:szCs w:val="22"/>
        </w:rPr>
        <w:t xml:space="preserve"> the testing and evaluation of the water quality of public water systems</w:t>
      </w:r>
      <w:r w:rsidR="00C50C57">
        <w:rPr>
          <w:sz w:val="22"/>
          <w:szCs w:val="22"/>
        </w:rPr>
        <w:t xml:space="preserve">, </w:t>
      </w:r>
      <w:r w:rsidR="00446102" w:rsidRPr="00446102">
        <w:rPr>
          <w:sz w:val="22"/>
          <w:szCs w:val="22"/>
        </w:rPr>
        <w:t>review</w:t>
      </w:r>
      <w:r w:rsidR="008E07A4">
        <w:rPr>
          <w:sz w:val="22"/>
          <w:szCs w:val="22"/>
        </w:rPr>
        <w:t>s</w:t>
      </w:r>
      <w:r w:rsidR="00446102" w:rsidRPr="00446102">
        <w:rPr>
          <w:sz w:val="22"/>
          <w:szCs w:val="22"/>
        </w:rPr>
        <w:t xml:space="preserve"> </w:t>
      </w:r>
      <w:r w:rsidR="00116B32">
        <w:rPr>
          <w:sz w:val="22"/>
          <w:szCs w:val="22"/>
        </w:rPr>
        <w:t>construction plans</w:t>
      </w:r>
      <w:r w:rsidR="00446102" w:rsidRPr="00446102">
        <w:rPr>
          <w:sz w:val="22"/>
          <w:szCs w:val="22"/>
        </w:rPr>
        <w:t>, provid</w:t>
      </w:r>
      <w:r w:rsidR="008E07A4">
        <w:rPr>
          <w:sz w:val="22"/>
          <w:szCs w:val="22"/>
        </w:rPr>
        <w:t>es</w:t>
      </w:r>
      <w:r w:rsidR="00446102" w:rsidRPr="00446102">
        <w:rPr>
          <w:sz w:val="22"/>
          <w:szCs w:val="22"/>
        </w:rPr>
        <w:t xml:space="preserve"> training </w:t>
      </w:r>
      <w:r w:rsidR="00116B32">
        <w:rPr>
          <w:sz w:val="22"/>
          <w:szCs w:val="22"/>
        </w:rPr>
        <w:t>and technical assistance,</w:t>
      </w:r>
      <w:r w:rsidR="00446102" w:rsidRPr="00446102">
        <w:rPr>
          <w:sz w:val="22"/>
          <w:szCs w:val="22"/>
        </w:rPr>
        <w:t xml:space="preserve"> assist</w:t>
      </w:r>
      <w:r w:rsidR="008E07A4">
        <w:rPr>
          <w:sz w:val="22"/>
          <w:szCs w:val="22"/>
        </w:rPr>
        <w:t>s</w:t>
      </w:r>
      <w:r w:rsidR="00446102" w:rsidRPr="00446102">
        <w:rPr>
          <w:sz w:val="22"/>
          <w:szCs w:val="22"/>
        </w:rPr>
        <w:t xml:space="preserve"> </w:t>
      </w:r>
      <w:r w:rsidR="00116B32">
        <w:rPr>
          <w:sz w:val="22"/>
          <w:szCs w:val="22"/>
        </w:rPr>
        <w:t>water systems</w:t>
      </w:r>
      <w:r w:rsidR="001C1AB3">
        <w:rPr>
          <w:sz w:val="22"/>
          <w:szCs w:val="22"/>
        </w:rPr>
        <w:t xml:space="preserve"> and local municipalities</w:t>
      </w:r>
      <w:r w:rsidR="00446102" w:rsidRPr="00446102">
        <w:rPr>
          <w:sz w:val="22"/>
          <w:szCs w:val="22"/>
        </w:rPr>
        <w:t xml:space="preserve">, </w:t>
      </w:r>
      <w:r w:rsidR="002D7C43">
        <w:rPr>
          <w:sz w:val="22"/>
          <w:szCs w:val="22"/>
        </w:rPr>
        <w:t>respond</w:t>
      </w:r>
      <w:r w:rsidR="008E07A4">
        <w:rPr>
          <w:sz w:val="22"/>
          <w:szCs w:val="22"/>
        </w:rPr>
        <w:t>s</w:t>
      </w:r>
      <w:r w:rsidR="002D7C43">
        <w:rPr>
          <w:sz w:val="22"/>
          <w:szCs w:val="22"/>
        </w:rPr>
        <w:t xml:space="preserve"> to emergencies, </w:t>
      </w:r>
      <w:r w:rsidR="00446102" w:rsidRPr="00446102">
        <w:rPr>
          <w:sz w:val="22"/>
          <w:szCs w:val="22"/>
        </w:rPr>
        <w:t>and develop</w:t>
      </w:r>
      <w:r w:rsidR="008E07A4">
        <w:rPr>
          <w:sz w:val="22"/>
          <w:szCs w:val="22"/>
        </w:rPr>
        <w:t>s</w:t>
      </w:r>
      <w:r w:rsidR="00116B32">
        <w:rPr>
          <w:sz w:val="22"/>
          <w:szCs w:val="22"/>
        </w:rPr>
        <w:t xml:space="preserve"> </w:t>
      </w:r>
      <w:r w:rsidR="00446102" w:rsidRPr="00446102">
        <w:rPr>
          <w:sz w:val="22"/>
          <w:szCs w:val="22"/>
        </w:rPr>
        <w:t xml:space="preserve">guidance materials and educational resources. </w:t>
      </w:r>
      <w:hyperlink r:id="rId11">
        <w:r w:rsidR="002F4004" w:rsidRPr="72C96E24">
          <w:rPr>
            <w:rStyle w:val="Hyperlink"/>
            <w:sz w:val="22"/>
            <w:szCs w:val="22"/>
          </w:rPr>
          <w:t>Chapter 70A.125 RCW</w:t>
        </w:r>
      </w:hyperlink>
      <w:r w:rsidR="005145CB">
        <w:rPr>
          <w:sz w:val="22"/>
          <w:szCs w:val="22"/>
        </w:rPr>
        <w:t xml:space="preserve"> mandates</w:t>
      </w:r>
      <w:r w:rsidR="002F4004" w:rsidRPr="00446102">
        <w:rPr>
          <w:sz w:val="22"/>
          <w:szCs w:val="22"/>
        </w:rPr>
        <w:t xml:space="preserve"> the </w:t>
      </w:r>
      <w:r w:rsidR="002F4004">
        <w:rPr>
          <w:sz w:val="22"/>
          <w:szCs w:val="22"/>
        </w:rPr>
        <w:t xml:space="preserve">Department </w:t>
      </w:r>
      <w:r w:rsidR="002F4004" w:rsidRPr="00446102">
        <w:rPr>
          <w:sz w:val="22"/>
          <w:szCs w:val="22"/>
        </w:rPr>
        <w:t xml:space="preserve">to </w:t>
      </w:r>
      <w:r w:rsidR="002F4004">
        <w:rPr>
          <w:sz w:val="22"/>
          <w:szCs w:val="22"/>
        </w:rPr>
        <w:t>administer the state’s drinking water program</w:t>
      </w:r>
      <w:r w:rsidR="006078BF">
        <w:rPr>
          <w:sz w:val="22"/>
          <w:szCs w:val="22"/>
        </w:rPr>
        <w:t>.</w:t>
      </w:r>
      <w:r w:rsidR="00B61236">
        <w:rPr>
          <w:sz w:val="22"/>
          <w:szCs w:val="22"/>
        </w:rPr>
        <w:t xml:space="preserve"> </w:t>
      </w:r>
      <w:r w:rsidR="008E07A4">
        <w:rPr>
          <w:sz w:val="22"/>
          <w:szCs w:val="22"/>
        </w:rPr>
        <w:t>The Office of Drinking Water</w:t>
      </w:r>
      <w:r w:rsidR="006078BF" w:rsidRPr="00F630F2">
        <w:rPr>
          <w:sz w:val="22"/>
          <w:szCs w:val="22"/>
        </w:rPr>
        <w:t xml:space="preserve"> regulate</w:t>
      </w:r>
      <w:r w:rsidR="008E07A4">
        <w:rPr>
          <w:sz w:val="22"/>
          <w:szCs w:val="22"/>
        </w:rPr>
        <w:t>s</w:t>
      </w:r>
      <w:r w:rsidR="006078BF" w:rsidRPr="00F630F2">
        <w:rPr>
          <w:sz w:val="22"/>
          <w:szCs w:val="22"/>
        </w:rPr>
        <w:t xml:space="preserve"> Group A public water systems under state law and </w:t>
      </w:r>
      <w:r w:rsidR="008E07A4">
        <w:rPr>
          <w:sz w:val="22"/>
          <w:szCs w:val="22"/>
        </w:rPr>
        <w:t xml:space="preserve">has </w:t>
      </w:r>
      <w:r w:rsidR="006078BF" w:rsidRPr="00F630F2">
        <w:rPr>
          <w:sz w:val="22"/>
          <w:szCs w:val="22"/>
        </w:rPr>
        <w:t>a formal agreement with the U.S. Environmental Protection Agency (EPA) for carrying out the federal Safe Drinking Water Act, which establishes minimum standards for drinking water quality.</w:t>
      </w:r>
      <w:r w:rsidR="00B61236">
        <w:rPr>
          <w:sz w:val="22"/>
          <w:szCs w:val="22"/>
        </w:rPr>
        <w:t xml:space="preserve"> </w:t>
      </w:r>
      <w:hyperlink r:id="rId12">
        <w:r w:rsidR="002F4004" w:rsidRPr="72C96E24">
          <w:rPr>
            <w:rStyle w:val="Hyperlink"/>
            <w:sz w:val="22"/>
            <w:szCs w:val="22"/>
          </w:rPr>
          <w:t>Chapter 70A.120 RCW</w:t>
        </w:r>
      </w:hyperlink>
      <w:r w:rsidR="002F4004">
        <w:rPr>
          <w:sz w:val="22"/>
          <w:szCs w:val="22"/>
        </w:rPr>
        <w:t xml:space="preserve"> requires the Department to </w:t>
      </w:r>
      <w:r w:rsidR="002F4004" w:rsidRPr="00B92E6F">
        <w:rPr>
          <w:sz w:val="22"/>
          <w:szCs w:val="22"/>
        </w:rPr>
        <w:t>certif</w:t>
      </w:r>
      <w:r w:rsidR="002F4004">
        <w:rPr>
          <w:sz w:val="22"/>
          <w:szCs w:val="22"/>
        </w:rPr>
        <w:t>y</w:t>
      </w:r>
      <w:r w:rsidR="002F4004" w:rsidRPr="00B92E6F">
        <w:rPr>
          <w:sz w:val="22"/>
          <w:szCs w:val="22"/>
        </w:rPr>
        <w:t xml:space="preserve"> public water system operators and monitor public water systems to ensure that such systems comply with </w:t>
      </w:r>
      <w:r w:rsidR="002F4004">
        <w:rPr>
          <w:sz w:val="22"/>
          <w:szCs w:val="22"/>
        </w:rPr>
        <w:t>federal and state laws</w:t>
      </w:r>
      <w:r w:rsidR="00B61236">
        <w:rPr>
          <w:sz w:val="22"/>
          <w:szCs w:val="22"/>
        </w:rPr>
        <w:t>.</w:t>
      </w:r>
      <w:r w:rsidR="002F4004" w:rsidRPr="00F630F2">
        <w:rPr>
          <w:sz w:val="22"/>
          <w:szCs w:val="22"/>
        </w:rPr>
        <w:t xml:space="preserve"> </w:t>
      </w:r>
    </w:p>
    <w:p w14:paraId="6B725AF8" w14:textId="77777777" w:rsidR="00446102" w:rsidRDefault="00446102" w:rsidP="00446102">
      <w:pPr>
        <w:pStyle w:val="NoSpacing"/>
      </w:pPr>
    </w:p>
    <w:p w14:paraId="60E55A64" w14:textId="342D3449" w:rsidR="00D27413" w:rsidRDefault="00285FCC" w:rsidP="00285FCC">
      <w:pPr>
        <w:spacing w:after="0"/>
        <w:mirrorIndents/>
        <w:rPr>
          <w:sz w:val="22"/>
          <w:szCs w:val="22"/>
        </w:rPr>
      </w:pPr>
      <w:r w:rsidRPr="00285FCC">
        <w:rPr>
          <w:sz w:val="22"/>
          <w:szCs w:val="22"/>
        </w:rPr>
        <w:t xml:space="preserve">More than </w:t>
      </w:r>
      <w:r w:rsidR="00B81F86">
        <w:rPr>
          <w:sz w:val="22"/>
          <w:szCs w:val="22"/>
        </w:rPr>
        <w:t>7.0</w:t>
      </w:r>
      <w:r w:rsidRPr="00285FCC">
        <w:rPr>
          <w:sz w:val="22"/>
          <w:szCs w:val="22"/>
        </w:rPr>
        <w:t xml:space="preserve"> million Washington residents get their drinking water from a Group A or Group B public water system. That's 8</w:t>
      </w:r>
      <w:r w:rsidR="00B81F86">
        <w:rPr>
          <w:sz w:val="22"/>
          <w:szCs w:val="22"/>
        </w:rPr>
        <w:t>8</w:t>
      </w:r>
      <w:r w:rsidRPr="00285FCC">
        <w:rPr>
          <w:sz w:val="22"/>
          <w:szCs w:val="22"/>
        </w:rPr>
        <w:t xml:space="preserve"> percent of the state's population. About </w:t>
      </w:r>
      <w:r w:rsidR="00034B09">
        <w:rPr>
          <w:sz w:val="22"/>
          <w:szCs w:val="22"/>
        </w:rPr>
        <w:t>960</w:t>
      </w:r>
      <w:r w:rsidRPr="00285FCC">
        <w:rPr>
          <w:sz w:val="22"/>
          <w:szCs w:val="22"/>
        </w:rPr>
        <w:t>,000 Washington residents get their drinking water from individual private wells</w:t>
      </w:r>
      <w:r w:rsidRPr="65B61707">
        <w:rPr>
          <w:sz w:val="22"/>
          <w:szCs w:val="22"/>
        </w:rPr>
        <w:t>. </w:t>
      </w:r>
    </w:p>
    <w:p w14:paraId="3951FD83" w14:textId="77777777" w:rsidR="00446102" w:rsidRDefault="00446102" w:rsidP="00446102">
      <w:pPr>
        <w:pStyle w:val="NoSpacing"/>
      </w:pPr>
    </w:p>
    <w:p w14:paraId="21E4A926" w14:textId="4303B09B" w:rsidR="00285FCC" w:rsidRDefault="00CA484A" w:rsidP="00285FCC">
      <w:pPr>
        <w:spacing w:after="0"/>
        <w:mirrorIndents/>
        <w:rPr>
          <w:sz w:val="22"/>
          <w:szCs w:val="22"/>
        </w:rPr>
      </w:pPr>
      <w:r w:rsidRPr="006558B8">
        <w:rPr>
          <w:sz w:val="22"/>
          <w:szCs w:val="22"/>
        </w:rPr>
        <w:t xml:space="preserve">Group A public drinking water systems </w:t>
      </w:r>
      <w:r>
        <w:rPr>
          <w:sz w:val="22"/>
          <w:szCs w:val="22"/>
        </w:rPr>
        <w:t>are required to have</w:t>
      </w:r>
      <w:r w:rsidRPr="006558B8">
        <w:rPr>
          <w:sz w:val="22"/>
          <w:szCs w:val="22"/>
        </w:rPr>
        <w:t xml:space="preserve"> a routine sanitary survey once every three to five years.</w:t>
      </w:r>
      <w:r>
        <w:rPr>
          <w:sz w:val="22"/>
          <w:szCs w:val="22"/>
        </w:rPr>
        <w:t xml:space="preserve"> </w:t>
      </w:r>
      <w:r w:rsidR="008E07A4">
        <w:rPr>
          <w:sz w:val="22"/>
          <w:szCs w:val="22"/>
        </w:rPr>
        <w:t>The Office of Drinking Water</w:t>
      </w:r>
      <w:r w:rsidR="00BA06BC">
        <w:rPr>
          <w:sz w:val="22"/>
          <w:szCs w:val="22"/>
        </w:rPr>
        <w:t xml:space="preserve"> </w:t>
      </w:r>
      <w:r>
        <w:rPr>
          <w:sz w:val="22"/>
          <w:szCs w:val="22"/>
        </w:rPr>
        <w:t xml:space="preserve">typically </w:t>
      </w:r>
      <w:r w:rsidR="00BA06BC" w:rsidRPr="00BA06BC">
        <w:rPr>
          <w:sz w:val="22"/>
          <w:szCs w:val="22"/>
        </w:rPr>
        <w:t>conducts sanitary surveys</w:t>
      </w:r>
      <w:r>
        <w:rPr>
          <w:sz w:val="22"/>
          <w:szCs w:val="22"/>
        </w:rPr>
        <w:t>; h</w:t>
      </w:r>
      <w:r w:rsidR="00BA06BC" w:rsidRPr="00BA06BC">
        <w:rPr>
          <w:sz w:val="22"/>
          <w:szCs w:val="22"/>
        </w:rPr>
        <w:t xml:space="preserve">owever, in some counties, </w:t>
      </w:r>
      <w:r w:rsidR="008E07A4">
        <w:rPr>
          <w:sz w:val="22"/>
          <w:szCs w:val="22"/>
        </w:rPr>
        <w:t>the office</w:t>
      </w:r>
      <w:r w:rsidR="00BA06BC" w:rsidRPr="00BA06BC">
        <w:rPr>
          <w:sz w:val="22"/>
          <w:szCs w:val="22"/>
        </w:rPr>
        <w:t xml:space="preserve"> contracts with local health jurisdiction staff or an independent consultant to conduct the survey</w:t>
      </w:r>
      <w:r w:rsidR="00BA06BC">
        <w:rPr>
          <w:sz w:val="22"/>
          <w:szCs w:val="22"/>
        </w:rPr>
        <w:t xml:space="preserve">. </w:t>
      </w:r>
      <w:r w:rsidR="006558B8" w:rsidRPr="006558B8">
        <w:rPr>
          <w:sz w:val="22"/>
          <w:szCs w:val="22"/>
        </w:rPr>
        <w:t xml:space="preserve">A sanitary survey is a periodic inspection of water system facilities, operations, and records. </w:t>
      </w:r>
      <w:r w:rsidR="000F0F06">
        <w:rPr>
          <w:sz w:val="22"/>
          <w:szCs w:val="22"/>
        </w:rPr>
        <w:t>This is used</w:t>
      </w:r>
      <w:r w:rsidR="006558B8" w:rsidRPr="006558B8">
        <w:rPr>
          <w:sz w:val="22"/>
          <w:szCs w:val="22"/>
        </w:rPr>
        <w:t xml:space="preserve"> to identify conditions that present </w:t>
      </w:r>
      <w:r w:rsidR="00674C92">
        <w:rPr>
          <w:sz w:val="22"/>
          <w:szCs w:val="22"/>
        </w:rPr>
        <w:t xml:space="preserve">or </w:t>
      </w:r>
      <w:r w:rsidR="006558B8" w:rsidRPr="006558B8">
        <w:rPr>
          <w:sz w:val="22"/>
          <w:szCs w:val="22"/>
        </w:rPr>
        <w:t>may present a sanitary or public health risk</w:t>
      </w:r>
      <w:r w:rsidR="00BA06BC">
        <w:rPr>
          <w:sz w:val="22"/>
          <w:szCs w:val="22"/>
        </w:rPr>
        <w:t>.</w:t>
      </w:r>
      <w:r w:rsidR="006558B8" w:rsidRPr="006558B8">
        <w:rPr>
          <w:sz w:val="22"/>
          <w:szCs w:val="22"/>
        </w:rPr>
        <w:t xml:space="preserve"> </w:t>
      </w:r>
    </w:p>
    <w:p w14:paraId="30C9F58D" w14:textId="77777777" w:rsidR="00285FCC" w:rsidRDefault="00285FCC" w:rsidP="00285FCC">
      <w:pPr>
        <w:spacing w:after="0"/>
        <w:mirrorIndents/>
      </w:pPr>
    </w:p>
    <w:p w14:paraId="59C9A9E2" w14:textId="16F21E03" w:rsidR="00D27413" w:rsidRDefault="00D27413" w:rsidP="00D27413">
      <w:pPr>
        <w:spacing w:after="0"/>
        <w:mirrorIndents/>
        <w:rPr>
          <w:sz w:val="22"/>
          <w:szCs w:val="22"/>
        </w:rPr>
      </w:pPr>
      <w:hyperlink r:id="rId13" w:history="1">
        <w:r w:rsidRPr="00951788">
          <w:rPr>
            <w:rStyle w:val="Hyperlink"/>
            <w:sz w:val="22"/>
            <w:szCs w:val="22"/>
          </w:rPr>
          <w:t>RCW 43.70.250</w:t>
        </w:r>
      </w:hyperlink>
      <w:r w:rsidRPr="009F69ED">
        <w:rPr>
          <w:sz w:val="22"/>
          <w:szCs w:val="22"/>
        </w:rPr>
        <w:t xml:space="preserve"> authorize</w:t>
      </w:r>
      <w:r>
        <w:rPr>
          <w:sz w:val="22"/>
          <w:szCs w:val="22"/>
        </w:rPr>
        <w:t>s</w:t>
      </w:r>
      <w:r w:rsidRPr="009F69ED">
        <w:rPr>
          <w:sz w:val="22"/>
          <w:szCs w:val="22"/>
        </w:rPr>
        <w:t xml:space="preserve"> the Secretary of Health to establish various fees associated with licensing and regulation of professions, occupations, or businesses. These fees must be set at a level that covers the costs of administering each program or license.</w:t>
      </w:r>
      <w:r>
        <w:rPr>
          <w:sz w:val="22"/>
          <w:szCs w:val="22"/>
        </w:rPr>
        <w:t xml:space="preserve"> </w:t>
      </w:r>
      <w:hyperlink r:id="rId14" w:tgtFrame="_blank" w:history="1">
        <w:r w:rsidR="00923F62" w:rsidRPr="00923F62">
          <w:rPr>
            <w:rStyle w:val="Hyperlink"/>
            <w:sz w:val="22"/>
            <w:szCs w:val="22"/>
          </w:rPr>
          <w:t>RCW 43.20B.020</w:t>
        </w:r>
      </w:hyperlink>
      <w:r w:rsidR="00923F62" w:rsidRPr="00923F62">
        <w:rPr>
          <w:sz w:val="22"/>
          <w:szCs w:val="22"/>
        </w:rPr>
        <w:t xml:space="preserve"> also permits the Department to charge fees for services.</w:t>
      </w:r>
    </w:p>
    <w:p w14:paraId="28873119" w14:textId="77777777" w:rsidR="00D27413" w:rsidRDefault="00D27413" w:rsidP="00D27413">
      <w:pPr>
        <w:pStyle w:val="NoSpacing"/>
      </w:pPr>
    </w:p>
    <w:p w14:paraId="6573586F" w14:textId="6C170FAB" w:rsidR="00D27413" w:rsidRDefault="00D27413" w:rsidP="00D27413">
      <w:pPr>
        <w:spacing w:after="0"/>
        <w:mirrorIndents/>
        <w:rPr>
          <w:sz w:val="22"/>
          <w:szCs w:val="22"/>
        </w:rPr>
      </w:pPr>
      <w:r w:rsidRPr="00732277">
        <w:rPr>
          <w:sz w:val="22"/>
          <w:szCs w:val="22"/>
        </w:rPr>
        <w:t xml:space="preserve">The </w:t>
      </w:r>
      <w:r>
        <w:rPr>
          <w:sz w:val="22"/>
          <w:szCs w:val="22"/>
        </w:rPr>
        <w:t>D</w:t>
      </w:r>
      <w:r w:rsidRPr="00732277">
        <w:rPr>
          <w:sz w:val="22"/>
          <w:szCs w:val="22"/>
        </w:rPr>
        <w:t>epartment has completed an initial assessment</w:t>
      </w:r>
      <w:r w:rsidR="00571162">
        <w:rPr>
          <w:sz w:val="22"/>
          <w:szCs w:val="22"/>
        </w:rPr>
        <w:t>, which included performing a time study as part of this analysis,</w:t>
      </w:r>
      <w:r w:rsidRPr="00732277">
        <w:rPr>
          <w:sz w:val="22"/>
          <w:szCs w:val="22"/>
        </w:rPr>
        <w:t xml:space="preserve"> and determined the current fees are not generating sufficient revenue to cover the operating costs over the biennium. </w:t>
      </w:r>
      <w:r w:rsidRPr="001714C6">
        <w:rPr>
          <w:sz w:val="22"/>
          <w:szCs w:val="22"/>
        </w:rPr>
        <w:t>Considering the program’s financial forecast,</w:t>
      </w:r>
      <w:r>
        <w:rPr>
          <w:sz w:val="22"/>
          <w:szCs w:val="22"/>
        </w:rPr>
        <w:t xml:space="preserve"> the </w:t>
      </w:r>
      <w:r w:rsidR="00050EDF" w:rsidRPr="09C9F506">
        <w:rPr>
          <w:sz w:val="22"/>
          <w:szCs w:val="22"/>
        </w:rPr>
        <w:t>De</w:t>
      </w:r>
      <w:r w:rsidRPr="09C9F506">
        <w:rPr>
          <w:sz w:val="22"/>
          <w:szCs w:val="22"/>
        </w:rPr>
        <w:t>partment</w:t>
      </w:r>
      <w:r>
        <w:rPr>
          <w:sz w:val="22"/>
          <w:szCs w:val="22"/>
        </w:rPr>
        <w:t xml:space="preserve"> recommends a fee</w:t>
      </w:r>
      <w:r w:rsidRPr="00732277">
        <w:rPr>
          <w:sz w:val="22"/>
          <w:szCs w:val="22"/>
        </w:rPr>
        <w:t xml:space="preserve"> </w:t>
      </w:r>
      <w:r>
        <w:rPr>
          <w:sz w:val="22"/>
          <w:szCs w:val="22"/>
        </w:rPr>
        <w:t xml:space="preserve">adjustment </w:t>
      </w:r>
      <w:r w:rsidRPr="00732277">
        <w:rPr>
          <w:sz w:val="22"/>
          <w:szCs w:val="22"/>
        </w:rPr>
        <w:t>to address existing program deficits, reductions in funding from General Fund State (GFS) account, and cost-of-living adjustments made in the 2025-2027 state budget (ESSB 5167).</w:t>
      </w:r>
    </w:p>
    <w:p w14:paraId="151477B0" w14:textId="77777777" w:rsidR="00D27413" w:rsidRDefault="00D27413" w:rsidP="00D27413">
      <w:pPr>
        <w:pStyle w:val="NoSpacing"/>
      </w:pPr>
    </w:p>
    <w:p w14:paraId="4D405ADA" w14:textId="77777777" w:rsidR="00D27413" w:rsidRPr="001714C6" w:rsidRDefault="00D27413" w:rsidP="00D27413">
      <w:pPr>
        <w:spacing w:after="0"/>
        <w:mirrorIndents/>
        <w:rPr>
          <w:sz w:val="22"/>
          <w:szCs w:val="22"/>
        </w:rPr>
      </w:pPr>
      <w:r w:rsidRPr="001714C6">
        <w:rPr>
          <w:sz w:val="22"/>
          <w:szCs w:val="22"/>
        </w:rPr>
        <w:t>This document summarizes data on revenu</w:t>
      </w:r>
      <w:r>
        <w:rPr>
          <w:sz w:val="22"/>
          <w:szCs w:val="22"/>
        </w:rPr>
        <w:t>e, expenditures, fee reserve, cost</w:t>
      </w:r>
      <w:r w:rsidRPr="001714C6">
        <w:rPr>
          <w:sz w:val="22"/>
          <w:szCs w:val="22"/>
        </w:rPr>
        <w:t xml:space="preserve"> drivers</w:t>
      </w:r>
      <w:r>
        <w:rPr>
          <w:sz w:val="22"/>
          <w:szCs w:val="22"/>
        </w:rPr>
        <w:t>, financial forecast</w:t>
      </w:r>
      <w:r w:rsidRPr="001714C6">
        <w:rPr>
          <w:sz w:val="22"/>
          <w:szCs w:val="22"/>
        </w:rPr>
        <w:t xml:space="preserve">, and the </w:t>
      </w:r>
      <w:r>
        <w:rPr>
          <w:sz w:val="22"/>
          <w:szCs w:val="22"/>
        </w:rPr>
        <w:t>changes to existing</w:t>
      </w:r>
      <w:r w:rsidRPr="001714C6">
        <w:rPr>
          <w:sz w:val="22"/>
          <w:szCs w:val="22"/>
        </w:rPr>
        <w:t xml:space="preserve"> fees.</w:t>
      </w:r>
    </w:p>
    <w:p w14:paraId="38EA34B6" w14:textId="77777777" w:rsidR="00D27413" w:rsidRDefault="00D27413" w:rsidP="00D27413">
      <w:pPr>
        <w:pStyle w:val="NoSpacing"/>
      </w:pPr>
    </w:p>
    <w:p w14:paraId="0BF509F4" w14:textId="77777777" w:rsidR="00D27413" w:rsidRDefault="00D27413" w:rsidP="00D27413">
      <w:pPr>
        <w:spacing w:after="0"/>
        <w:rPr>
          <w:b/>
          <w:bCs/>
          <w:sz w:val="24"/>
          <w:szCs w:val="24"/>
        </w:rPr>
      </w:pPr>
      <w:r>
        <w:rPr>
          <w:b/>
          <w:bCs/>
          <w:sz w:val="24"/>
          <w:szCs w:val="24"/>
        </w:rPr>
        <w:lastRenderedPageBreak/>
        <w:t>Current Financial Status</w:t>
      </w:r>
    </w:p>
    <w:p w14:paraId="528B9554" w14:textId="507E4219" w:rsidR="00D27413" w:rsidRDefault="00D27413" w:rsidP="00D27413">
      <w:pPr>
        <w:spacing w:after="0"/>
        <w:mirrorIndents/>
        <w:rPr>
          <w:color w:val="auto"/>
          <w:sz w:val="22"/>
          <w:szCs w:val="22"/>
        </w:rPr>
      </w:pPr>
      <w:r w:rsidRPr="001714C6">
        <w:rPr>
          <w:sz w:val="22"/>
          <w:szCs w:val="22"/>
        </w:rPr>
        <w:t xml:space="preserve">The </w:t>
      </w:r>
      <w:r w:rsidR="00815526">
        <w:rPr>
          <w:sz w:val="22"/>
          <w:szCs w:val="22"/>
        </w:rPr>
        <w:t xml:space="preserve">Department’s </w:t>
      </w:r>
      <w:r w:rsidR="0086429F">
        <w:rPr>
          <w:sz w:val="22"/>
          <w:szCs w:val="22"/>
        </w:rPr>
        <w:t xml:space="preserve">Submittal Review and Sanitary Survey </w:t>
      </w:r>
      <w:r w:rsidR="00B92A40">
        <w:rPr>
          <w:sz w:val="22"/>
          <w:szCs w:val="22"/>
        </w:rPr>
        <w:t>program</w:t>
      </w:r>
      <w:r w:rsidRPr="001714C6">
        <w:rPr>
          <w:sz w:val="22"/>
          <w:szCs w:val="22"/>
        </w:rPr>
        <w:t xml:space="preserve"> </w:t>
      </w:r>
      <w:r w:rsidR="00610FA8">
        <w:rPr>
          <w:sz w:val="22"/>
          <w:szCs w:val="22"/>
        </w:rPr>
        <w:t>currently,</w:t>
      </w:r>
      <w:r w:rsidRPr="001714C6">
        <w:rPr>
          <w:sz w:val="22"/>
          <w:szCs w:val="22"/>
        </w:rPr>
        <w:t xml:space="preserve"> </w:t>
      </w:r>
      <w:r>
        <w:rPr>
          <w:sz w:val="22"/>
          <w:szCs w:val="22"/>
        </w:rPr>
        <w:t>(</w:t>
      </w:r>
      <w:r w:rsidRPr="001714C6">
        <w:rPr>
          <w:sz w:val="22"/>
          <w:szCs w:val="22"/>
        </w:rPr>
        <w:t>FY</w:t>
      </w:r>
      <w:r>
        <w:rPr>
          <w:sz w:val="22"/>
          <w:szCs w:val="22"/>
        </w:rPr>
        <w:t>)</w:t>
      </w:r>
      <w:r w:rsidR="00050EDF">
        <w:rPr>
          <w:sz w:val="22"/>
          <w:szCs w:val="22"/>
        </w:rPr>
        <w:t xml:space="preserve"> </w:t>
      </w:r>
      <w:r w:rsidRPr="001714C6">
        <w:rPr>
          <w:sz w:val="22"/>
          <w:szCs w:val="22"/>
        </w:rPr>
        <w:t>20</w:t>
      </w:r>
      <w:r w:rsidRPr="00610FA8">
        <w:rPr>
          <w:sz w:val="22"/>
          <w:szCs w:val="22"/>
        </w:rPr>
        <w:t>25</w:t>
      </w:r>
      <w:r w:rsidR="00610FA8">
        <w:rPr>
          <w:sz w:val="22"/>
          <w:szCs w:val="22"/>
        </w:rPr>
        <w:t>, has</w:t>
      </w:r>
      <w:r w:rsidRPr="001714C6">
        <w:rPr>
          <w:sz w:val="22"/>
          <w:szCs w:val="22"/>
        </w:rPr>
        <w:t xml:space="preserve"> a </w:t>
      </w:r>
      <w:r>
        <w:rPr>
          <w:sz w:val="22"/>
          <w:szCs w:val="22"/>
        </w:rPr>
        <w:t>fee</w:t>
      </w:r>
      <w:r w:rsidRPr="001714C6">
        <w:rPr>
          <w:sz w:val="22"/>
          <w:szCs w:val="22"/>
        </w:rPr>
        <w:t xml:space="preserve"> balance of </w:t>
      </w:r>
      <w:r w:rsidR="00610FA8">
        <w:rPr>
          <w:sz w:val="22"/>
          <w:szCs w:val="22"/>
        </w:rPr>
        <w:t>-</w:t>
      </w:r>
      <w:r w:rsidRPr="001714C6">
        <w:rPr>
          <w:color w:val="auto"/>
          <w:sz w:val="22"/>
          <w:szCs w:val="22"/>
        </w:rPr>
        <w:t>$</w:t>
      </w:r>
      <w:r w:rsidR="00460D26">
        <w:rPr>
          <w:color w:val="auto"/>
          <w:sz w:val="22"/>
          <w:szCs w:val="22"/>
        </w:rPr>
        <w:t>543,807</w:t>
      </w:r>
      <w:r w:rsidRPr="001714C6">
        <w:rPr>
          <w:color w:val="auto"/>
          <w:sz w:val="22"/>
          <w:szCs w:val="22"/>
        </w:rPr>
        <w:t>.</w:t>
      </w:r>
      <w:r>
        <w:rPr>
          <w:color w:val="auto"/>
          <w:sz w:val="22"/>
          <w:szCs w:val="22"/>
        </w:rPr>
        <w:t xml:space="preserve"> The fee balance is currently operating at a </w:t>
      </w:r>
      <w:r w:rsidRPr="00460D26">
        <w:rPr>
          <w:color w:val="auto"/>
          <w:sz w:val="22"/>
          <w:szCs w:val="22"/>
        </w:rPr>
        <w:t>deficit</w:t>
      </w:r>
      <w:r>
        <w:rPr>
          <w:color w:val="auto"/>
          <w:sz w:val="22"/>
          <w:szCs w:val="22"/>
        </w:rPr>
        <w:t xml:space="preserve"> and </w:t>
      </w:r>
      <w:r w:rsidRPr="00460D26">
        <w:rPr>
          <w:color w:val="auto"/>
          <w:sz w:val="22"/>
          <w:szCs w:val="22"/>
        </w:rPr>
        <w:t>falls short</w:t>
      </w:r>
      <w:r>
        <w:rPr>
          <w:color w:val="auto"/>
          <w:sz w:val="22"/>
          <w:szCs w:val="22"/>
        </w:rPr>
        <w:t xml:space="preserve"> </w:t>
      </w:r>
      <w:r w:rsidR="001E7953">
        <w:rPr>
          <w:color w:val="auto"/>
          <w:sz w:val="22"/>
          <w:szCs w:val="22"/>
        </w:rPr>
        <w:t xml:space="preserve">of </w:t>
      </w:r>
      <w:r>
        <w:rPr>
          <w:color w:val="auto"/>
          <w:sz w:val="22"/>
          <w:szCs w:val="22"/>
        </w:rPr>
        <w:t>the recommended reserve balance $</w:t>
      </w:r>
      <w:r w:rsidR="001E7953">
        <w:rPr>
          <w:color w:val="auto"/>
          <w:sz w:val="22"/>
          <w:szCs w:val="22"/>
        </w:rPr>
        <w:t>381,015</w:t>
      </w:r>
      <w:r>
        <w:rPr>
          <w:color w:val="auto"/>
          <w:sz w:val="22"/>
          <w:szCs w:val="22"/>
        </w:rPr>
        <w:t xml:space="preserve">. The program is projected to continue </w:t>
      </w:r>
      <w:r w:rsidRPr="00CC7804">
        <w:rPr>
          <w:color w:val="auto"/>
          <w:sz w:val="22"/>
          <w:szCs w:val="22"/>
        </w:rPr>
        <w:t>increasing the deficit</w:t>
      </w:r>
      <w:r>
        <w:rPr>
          <w:color w:val="auto"/>
          <w:sz w:val="22"/>
          <w:szCs w:val="22"/>
        </w:rPr>
        <w:t xml:space="preserve"> each year through FY</w:t>
      </w:r>
      <w:r w:rsidR="00050EDF">
        <w:rPr>
          <w:color w:val="auto"/>
          <w:sz w:val="22"/>
          <w:szCs w:val="22"/>
        </w:rPr>
        <w:t xml:space="preserve"> </w:t>
      </w:r>
      <w:r>
        <w:rPr>
          <w:color w:val="auto"/>
          <w:sz w:val="22"/>
          <w:szCs w:val="22"/>
        </w:rPr>
        <w:t>2027.</w:t>
      </w:r>
    </w:p>
    <w:p w14:paraId="7B576A3C" w14:textId="77777777" w:rsidR="00D27413" w:rsidRDefault="00D27413" w:rsidP="006A5BBE">
      <w:pPr>
        <w:spacing w:after="0"/>
        <w:rPr>
          <w:b/>
          <w:bCs/>
          <w:sz w:val="24"/>
          <w:szCs w:val="24"/>
        </w:rPr>
      </w:pPr>
    </w:p>
    <w:p w14:paraId="69097F34" w14:textId="43D5C79B" w:rsidR="00C30303" w:rsidRPr="00933216" w:rsidRDefault="00C30303" w:rsidP="006A5BBE">
      <w:pPr>
        <w:spacing w:after="0"/>
        <w:rPr>
          <w:b/>
          <w:bCs/>
          <w:sz w:val="24"/>
          <w:szCs w:val="24"/>
        </w:rPr>
      </w:pPr>
      <w:r w:rsidRPr="00933216">
        <w:rPr>
          <w:b/>
          <w:bCs/>
          <w:sz w:val="24"/>
          <w:szCs w:val="24"/>
        </w:rPr>
        <w:t>Revenue</w:t>
      </w:r>
    </w:p>
    <w:p w14:paraId="3C5D3623" w14:textId="06746F4A" w:rsidR="00404C10" w:rsidRDefault="3F7421E5" w:rsidP="0081749B">
      <w:pPr>
        <w:mirrorIndents/>
        <w:rPr>
          <w:sz w:val="22"/>
          <w:szCs w:val="22"/>
        </w:rPr>
      </w:pPr>
      <w:r w:rsidRPr="3622CD63">
        <w:rPr>
          <w:sz w:val="22"/>
          <w:szCs w:val="22"/>
        </w:rPr>
        <w:t xml:space="preserve">The </w:t>
      </w:r>
      <w:r w:rsidR="00050EDF" w:rsidRPr="09C9F506">
        <w:rPr>
          <w:sz w:val="22"/>
          <w:szCs w:val="22"/>
        </w:rPr>
        <w:t>D</w:t>
      </w:r>
      <w:r w:rsidR="1AE973D1" w:rsidRPr="09C9F506">
        <w:rPr>
          <w:sz w:val="22"/>
          <w:szCs w:val="22"/>
        </w:rPr>
        <w:t>epartment</w:t>
      </w:r>
      <w:r w:rsidR="1AE973D1" w:rsidRPr="3622CD63">
        <w:rPr>
          <w:sz w:val="22"/>
          <w:szCs w:val="22"/>
        </w:rPr>
        <w:t xml:space="preserve"> currently</w:t>
      </w:r>
      <w:r w:rsidR="67945110" w:rsidRPr="3622CD63">
        <w:rPr>
          <w:sz w:val="22"/>
          <w:szCs w:val="22"/>
        </w:rPr>
        <w:t xml:space="preserve"> </w:t>
      </w:r>
      <w:r w:rsidR="00457434" w:rsidRPr="318F951C">
        <w:rPr>
          <w:sz w:val="22"/>
          <w:szCs w:val="22"/>
        </w:rPr>
        <w:t xml:space="preserve">requires water system </w:t>
      </w:r>
      <w:r w:rsidR="00457434">
        <w:rPr>
          <w:sz w:val="22"/>
          <w:szCs w:val="22"/>
        </w:rPr>
        <w:t>plan</w:t>
      </w:r>
      <w:r w:rsidR="006937ED">
        <w:rPr>
          <w:sz w:val="22"/>
          <w:szCs w:val="22"/>
        </w:rPr>
        <w:t>s</w:t>
      </w:r>
      <w:r w:rsidR="00457434" w:rsidRPr="318F951C">
        <w:rPr>
          <w:sz w:val="22"/>
          <w:szCs w:val="22"/>
        </w:rPr>
        <w:t>, project reports</w:t>
      </w:r>
      <w:r w:rsidR="0086429F">
        <w:rPr>
          <w:sz w:val="22"/>
          <w:szCs w:val="22"/>
        </w:rPr>
        <w:t>,</w:t>
      </w:r>
      <w:r w:rsidR="00457434" w:rsidRPr="318F951C">
        <w:rPr>
          <w:sz w:val="22"/>
          <w:szCs w:val="22"/>
        </w:rPr>
        <w:t xml:space="preserve"> and construction documents to be submitted for approval </w:t>
      </w:r>
      <w:r w:rsidR="005A7AFC" w:rsidRPr="318F951C">
        <w:rPr>
          <w:sz w:val="22"/>
          <w:szCs w:val="22"/>
        </w:rPr>
        <w:t xml:space="preserve">in </w:t>
      </w:r>
      <w:r w:rsidR="00B33B02" w:rsidRPr="318F951C">
        <w:rPr>
          <w:sz w:val="22"/>
          <w:szCs w:val="22"/>
        </w:rPr>
        <w:t xml:space="preserve">Part 2 of chapter 246-290 WAC and requires </w:t>
      </w:r>
      <w:r w:rsidR="00B34EDC" w:rsidRPr="318F951C">
        <w:rPr>
          <w:sz w:val="22"/>
          <w:szCs w:val="22"/>
        </w:rPr>
        <w:t xml:space="preserve">sanitary surveys under WAC 246-290-416.  Fees for these services are in </w:t>
      </w:r>
      <w:r w:rsidR="00457434" w:rsidRPr="318F951C">
        <w:rPr>
          <w:sz w:val="22"/>
          <w:szCs w:val="22"/>
        </w:rPr>
        <w:t xml:space="preserve"> </w:t>
      </w:r>
      <w:hyperlink r:id="rId15">
        <w:r w:rsidR="3DE9582E" w:rsidRPr="3622CD63">
          <w:rPr>
            <w:rStyle w:val="Hyperlink"/>
            <w:sz w:val="22"/>
            <w:szCs w:val="22"/>
          </w:rPr>
          <w:t>WAC 246-290-990</w:t>
        </w:r>
      </w:hyperlink>
      <w:r w:rsidR="52E768DA" w:rsidRPr="3622CD63">
        <w:rPr>
          <w:sz w:val="22"/>
          <w:szCs w:val="22"/>
        </w:rPr>
        <w:t>.</w:t>
      </w:r>
      <w:r w:rsidR="1318C349" w:rsidRPr="3622CD63">
        <w:rPr>
          <w:sz w:val="22"/>
          <w:szCs w:val="22"/>
        </w:rPr>
        <w:t xml:space="preserve"> </w:t>
      </w:r>
      <w:r w:rsidR="70F85278" w:rsidRPr="3622CD63">
        <w:rPr>
          <w:sz w:val="22"/>
          <w:szCs w:val="22"/>
        </w:rPr>
        <w:t xml:space="preserve">The </w:t>
      </w:r>
      <w:r w:rsidR="00962C9E">
        <w:rPr>
          <w:sz w:val="22"/>
          <w:szCs w:val="22"/>
        </w:rPr>
        <w:t>Department</w:t>
      </w:r>
      <w:r w:rsidR="0175A31F" w:rsidRPr="3622CD63">
        <w:rPr>
          <w:sz w:val="22"/>
          <w:szCs w:val="22"/>
        </w:rPr>
        <w:t xml:space="preserve"> receives</w:t>
      </w:r>
      <w:r w:rsidR="0BB446A9" w:rsidRPr="3622CD63">
        <w:rPr>
          <w:sz w:val="22"/>
          <w:szCs w:val="22"/>
        </w:rPr>
        <w:t xml:space="preserve"> around </w:t>
      </w:r>
      <w:r w:rsidR="47BB0A24" w:rsidRPr="3622CD63">
        <w:rPr>
          <w:sz w:val="22"/>
          <w:szCs w:val="22"/>
        </w:rPr>
        <w:t>220</w:t>
      </w:r>
      <w:r w:rsidR="0BB446A9" w:rsidRPr="3622CD63">
        <w:rPr>
          <w:sz w:val="22"/>
          <w:szCs w:val="22"/>
        </w:rPr>
        <w:t xml:space="preserve"> new </w:t>
      </w:r>
      <w:r w:rsidR="00334415" w:rsidRPr="318F951C">
        <w:rPr>
          <w:sz w:val="22"/>
          <w:szCs w:val="22"/>
        </w:rPr>
        <w:t>projects or plans for</w:t>
      </w:r>
      <w:r w:rsidR="6C1B8039" w:rsidRPr="318F951C">
        <w:rPr>
          <w:sz w:val="22"/>
          <w:szCs w:val="22"/>
        </w:rPr>
        <w:t xml:space="preserve"> </w:t>
      </w:r>
      <w:r w:rsidR="0B3FAB61" w:rsidRPr="318F951C">
        <w:rPr>
          <w:sz w:val="22"/>
          <w:szCs w:val="22"/>
        </w:rPr>
        <w:t>review</w:t>
      </w:r>
      <w:r w:rsidR="0BB446A9" w:rsidRPr="3622CD63">
        <w:rPr>
          <w:sz w:val="22"/>
          <w:szCs w:val="22"/>
        </w:rPr>
        <w:t xml:space="preserve"> a year</w:t>
      </w:r>
      <w:r w:rsidR="057DD625" w:rsidRPr="3622CD63">
        <w:rPr>
          <w:sz w:val="22"/>
          <w:szCs w:val="22"/>
        </w:rPr>
        <w:t>.</w:t>
      </w:r>
      <w:r w:rsidR="3FFCA32D" w:rsidRPr="3622CD63">
        <w:rPr>
          <w:sz w:val="22"/>
          <w:szCs w:val="22"/>
        </w:rPr>
        <w:t xml:space="preserve"> </w:t>
      </w:r>
      <w:r w:rsidR="453B8AE4" w:rsidRPr="3622CD63">
        <w:rPr>
          <w:sz w:val="22"/>
          <w:szCs w:val="22"/>
        </w:rPr>
        <w:t xml:space="preserve">The number of </w:t>
      </w:r>
      <w:r w:rsidR="00334415" w:rsidRPr="318F951C">
        <w:rPr>
          <w:sz w:val="22"/>
          <w:szCs w:val="22"/>
        </w:rPr>
        <w:t>submittal</w:t>
      </w:r>
      <w:r w:rsidR="44A3534A" w:rsidRPr="318F951C">
        <w:rPr>
          <w:sz w:val="22"/>
          <w:szCs w:val="22"/>
        </w:rPr>
        <w:t>s</w:t>
      </w:r>
      <w:r w:rsidR="453B8AE4" w:rsidRPr="3622CD63">
        <w:rPr>
          <w:sz w:val="22"/>
          <w:szCs w:val="22"/>
        </w:rPr>
        <w:t xml:space="preserve"> dipped</w:t>
      </w:r>
      <w:r w:rsidR="3168FF24" w:rsidRPr="3622CD63">
        <w:rPr>
          <w:sz w:val="22"/>
          <w:szCs w:val="22"/>
        </w:rPr>
        <w:t xml:space="preserve"> </w:t>
      </w:r>
      <w:r w:rsidR="1CA9E77B" w:rsidRPr="3622CD63">
        <w:rPr>
          <w:sz w:val="22"/>
          <w:szCs w:val="22"/>
        </w:rPr>
        <w:t>22</w:t>
      </w:r>
      <w:r w:rsidR="009A54DC">
        <w:rPr>
          <w:sz w:val="22"/>
          <w:szCs w:val="22"/>
        </w:rPr>
        <w:t xml:space="preserve"> percent</w:t>
      </w:r>
      <w:r w:rsidR="453B8AE4" w:rsidRPr="3622CD63">
        <w:rPr>
          <w:sz w:val="22"/>
          <w:szCs w:val="22"/>
        </w:rPr>
        <w:t xml:space="preserve"> in </w:t>
      </w:r>
      <w:r w:rsidR="3DAADCB5" w:rsidRPr="3622CD63">
        <w:rPr>
          <w:sz w:val="22"/>
          <w:szCs w:val="22"/>
        </w:rPr>
        <w:t>FY</w:t>
      </w:r>
      <w:r w:rsidR="453B8AE4" w:rsidRPr="3622CD63">
        <w:rPr>
          <w:sz w:val="22"/>
          <w:szCs w:val="22"/>
        </w:rPr>
        <w:t xml:space="preserve"> 20</w:t>
      </w:r>
      <w:r w:rsidR="19D26323" w:rsidRPr="3622CD63">
        <w:rPr>
          <w:sz w:val="22"/>
          <w:szCs w:val="22"/>
        </w:rPr>
        <w:t>22</w:t>
      </w:r>
      <w:r w:rsidR="02144803" w:rsidRPr="3622CD63">
        <w:rPr>
          <w:sz w:val="22"/>
          <w:szCs w:val="22"/>
        </w:rPr>
        <w:t xml:space="preserve"> </w:t>
      </w:r>
      <w:r w:rsidR="3DAADCB5" w:rsidRPr="3622CD63">
        <w:rPr>
          <w:sz w:val="22"/>
          <w:szCs w:val="22"/>
        </w:rPr>
        <w:t xml:space="preserve">and </w:t>
      </w:r>
      <w:r w:rsidR="589C84EB" w:rsidRPr="3622CD63">
        <w:rPr>
          <w:sz w:val="22"/>
          <w:szCs w:val="22"/>
        </w:rPr>
        <w:t xml:space="preserve">FY </w:t>
      </w:r>
      <w:r w:rsidR="3DAADCB5" w:rsidRPr="3622CD63">
        <w:rPr>
          <w:sz w:val="22"/>
          <w:szCs w:val="22"/>
        </w:rPr>
        <w:t>20</w:t>
      </w:r>
      <w:r w:rsidR="50B909FA" w:rsidRPr="3622CD63">
        <w:rPr>
          <w:sz w:val="22"/>
          <w:szCs w:val="22"/>
        </w:rPr>
        <w:t>2</w:t>
      </w:r>
      <w:r w:rsidR="42EDF539" w:rsidRPr="3622CD63">
        <w:rPr>
          <w:sz w:val="22"/>
          <w:szCs w:val="22"/>
        </w:rPr>
        <w:t>3</w:t>
      </w:r>
      <w:r w:rsidR="453B8AE4" w:rsidRPr="3622CD63">
        <w:rPr>
          <w:sz w:val="22"/>
          <w:szCs w:val="22"/>
        </w:rPr>
        <w:t xml:space="preserve">. </w:t>
      </w:r>
    </w:p>
    <w:p w14:paraId="18767DED" w14:textId="2030AD48" w:rsidR="00CE445C" w:rsidRDefault="00D6789F" w:rsidP="0081749B">
      <w:pPr>
        <w:mirrorIndents/>
        <w:rPr>
          <w:sz w:val="22"/>
          <w:szCs w:val="22"/>
        </w:rPr>
      </w:pPr>
      <w:r w:rsidRPr="318F951C">
        <w:rPr>
          <w:sz w:val="22"/>
          <w:szCs w:val="22"/>
        </w:rPr>
        <w:t>C</w:t>
      </w:r>
      <w:r w:rsidR="00CE12BD" w:rsidRPr="318F951C">
        <w:rPr>
          <w:sz w:val="22"/>
          <w:szCs w:val="22"/>
        </w:rPr>
        <w:t xml:space="preserve">ommunity water systems are required </w:t>
      </w:r>
      <w:r w:rsidRPr="318F951C">
        <w:rPr>
          <w:sz w:val="22"/>
          <w:szCs w:val="22"/>
        </w:rPr>
        <w:t>to submit to a sanitary survey e</w:t>
      </w:r>
      <w:r w:rsidR="00CE12BD" w:rsidRPr="318F951C">
        <w:rPr>
          <w:sz w:val="22"/>
          <w:szCs w:val="22"/>
        </w:rPr>
        <w:t xml:space="preserve">very 3 years </w:t>
      </w:r>
      <w:r w:rsidR="00383819" w:rsidRPr="318F951C">
        <w:rPr>
          <w:sz w:val="22"/>
          <w:szCs w:val="22"/>
        </w:rPr>
        <w:t xml:space="preserve">unless the system qualifies to be </w:t>
      </w:r>
      <w:r w:rsidR="002F7420" w:rsidRPr="318F951C">
        <w:rPr>
          <w:sz w:val="22"/>
          <w:szCs w:val="22"/>
        </w:rPr>
        <w:t xml:space="preserve">surveyed every </w:t>
      </w:r>
      <w:r w:rsidR="000F0DFD" w:rsidRPr="318F951C">
        <w:rPr>
          <w:sz w:val="22"/>
          <w:szCs w:val="22"/>
        </w:rPr>
        <w:t>5 years</w:t>
      </w:r>
      <w:r w:rsidR="006560B4" w:rsidRPr="318F951C">
        <w:rPr>
          <w:sz w:val="22"/>
          <w:szCs w:val="22"/>
        </w:rPr>
        <w:t xml:space="preserve"> per rule</w:t>
      </w:r>
      <w:r w:rsidR="00C573B4" w:rsidRPr="318F951C">
        <w:rPr>
          <w:sz w:val="22"/>
          <w:szCs w:val="22"/>
        </w:rPr>
        <w:t xml:space="preserve"> and noncommunity systems are required to </w:t>
      </w:r>
      <w:r w:rsidRPr="318F951C">
        <w:rPr>
          <w:sz w:val="22"/>
          <w:szCs w:val="22"/>
        </w:rPr>
        <w:t>submit to sanitary surveys every 5 years</w:t>
      </w:r>
      <w:r w:rsidR="006560B4" w:rsidRPr="318F951C">
        <w:rPr>
          <w:sz w:val="22"/>
          <w:szCs w:val="22"/>
        </w:rPr>
        <w:t xml:space="preserve">. </w:t>
      </w:r>
      <w:r w:rsidR="00354728" w:rsidRPr="318F951C">
        <w:rPr>
          <w:sz w:val="22"/>
          <w:szCs w:val="22"/>
        </w:rPr>
        <w:t>The</w:t>
      </w:r>
      <w:r w:rsidR="3FFCA32D" w:rsidRPr="3622CD63">
        <w:rPr>
          <w:sz w:val="22"/>
          <w:szCs w:val="22"/>
        </w:rPr>
        <w:t xml:space="preserve"> pro</w:t>
      </w:r>
      <w:r w:rsidR="52E768DA" w:rsidRPr="3622CD63">
        <w:rPr>
          <w:sz w:val="22"/>
          <w:szCs w:val="22"/>
        </w:rPr>
        <w:t>gram</w:t>
      </w:r>
      <w:r w:rsidR="0AB166CE" w:rsidRPr="1BFDD198">
        <w:rPr>
          <w:sz w:val="22"/>
          <w:szCs w:val="22"/>
        </w:rPr>
        <w:t xml:space="preserve"> </w:t>
      </w:r>
      <w:r w:rsidR="008B1D1F">
        <w:rPr>
          <w:sz w:val="22"/>
          <w:szCs w:val="22"/>
        </w:rPr>
        <w:t>survey on</w:t>
      </w:r>
      <w:r w:rsidR="3FFCA32D" w:rsidRPr="3622CD63">
        <w:rPr>
          <w:sz w:val="22"/>
          <w:szCs w:val="22"/>
        </w:rPr>
        <w:t xml:space="preserve"> average </w:t>
      </w:r>
      <w:r w:rsidR="4F65649F" w:rsidRPr="3622CD63">
        <w:rPr>
          <w:sz w:val="22"/>
          <w:szCs w:val="22"/>
        </w:rPr>
        <w:t>25</w:t>
      </w:r>
      <w:r w:rsidR="009A54DC">
        <w:rPr>
          <w:sz w:val="22"/>
          <w:szCs w:val="22"/>
        </w:rPr>
        <w:t xml:space="preserve"> percent</w:t>
      </w:r>
      <w:r w:rsidR="08A29ABF" w:rsidRPr="3622CD63">
        <w:rPr>
          <w:sz w:val="22"/>
          <w:szCs w:val="22"/>
        </w:rPr>
        <w:t xml:space="preserve"> </w:t>
      </w:r>
      <w:r w:rsidR="008B1D1F">
        <w:rPr>
          <w:sz w:val="22"/>
          <w:szCs w:val="22"/>
        </w:rPr>
        <w:t>of water systems</w:t>
      </w:r>
      <w:r w:rsidR="08A29ABF" w:rsidRPr="3622CD63">
        <w:rPr>
          <w:sz w:val="22"/>
          <w:szCs w:val="22"/>
        </w:rPr>
        <w:t xml:space="preserve"> </w:t>
      </w:r>
      <w:r w:rsidR="1BF6D545" w:rsidRPr="3622CD63">
        <w:rPr>
          <w:sz w:val="22"/>
          <w:szCs w:val="22"/>
        </w:rPr>
        <w:t>each year</w:t>
      </w:r>
      <w:r w:rsidR="7D2C3E56" w:rsidRPr="3622CD63">
        <w:rPr>
          <w:sz w:val="22"/>
          <w:szCs w:val="22"/>
        </w:rPr>
        <w:t xml:space="preserve"> due to </w:t>
      </w:r>
      <w:r w:rsidR="008B1D1F">
        <w:rPr>
          <w:sz w:val="22"/>
          <w:szCs w:val="22"/>
        </w:rPr>
        <w:t>the</w:t>
      </w:r>
      <w:r w:rsidR="7D2C3E56" w:rsidRPr="3622CD63">
        <w:rPr>
          <w:sz w:val="22"/>
          <w:szCs w:val="22"/>
        </w:rPr>
        <w:t xml:space="preserve"> 3-to-5-year cycle</w:t>
      </w:r>
      <w:r w:rsidR="1BF6D545" w:rsidRPr="3622CD63">
        <w:rPr>
          <w:sz w:val="22"/>
          <w:szCs w:val="22"/>
        </w:rPr>
        <w:t xml:space="preserve">, resulting in </w:t>
      </w:r>
      <w:r w:rsidR="164EA0C6" w:rsidRPr="3622CD63">
        <w:rPr>
          <w:sz w:val="22"/>
          <w:szCs w:val="22"/>
        </w:rPr>
        <w:t>an average fiv</w:t>
      </w:r>
      <w:r w:rsidR="1397AE3F" w:rsidRPr="3622CD63">
        <w:rPr>
          <w:sz w:val="22"/>
          <w:szCs w:val="22"/>
        </w:rPr>
        <w:t>e</w:t>
      </w:r>
      <w:r w:rsidR="1BF6D545" w:rsidRPr="3622CD63">
        <w:rPr>
          <w:sz w:val="22"/>
          <w:szCs w:val="22"/>
        </w:rPr>
        <w:t xml:space="preserve"> percent growth rate </w:t>
      </w:r>
      <w:r w:rsidR="0A5E4928" w:rsidRPr="3622CD63">
        <w:rPr>
          <w:sz w:val="22"/>
          <w:szCs w:val="22"/>
        </w:rPr>
        <w:t xml:space="preserve">in </w:t>
      </w:r>
      <w:r w:rsidR="00354728" w:rsidRPr="318F951C">
        <w:rPr>
          <w:sz w:val="22"/>
          <w:szCs w:val="22"/>
        </w:rPr>
        <w:t>surveys</w:t>
      </w:r>
      <w:r w:rsidR="0A5E4928" w:rsidRPr="3622CD63">
        <w:rPr>
          <w:sz w:val="22"/>
          <w:szCs w:val="22"/>
        </w:rPr>
        <w:t xml:space="preserve"> </w:t>
      </w:r>
      <w:r w:rsidR="53AA45C4" w:rsidRPr="3622CD63">
        <w:rPr>
          <w:sz w:val="22"/>
          <w:szCs w:val="22"/>
        </w:rPr>
        <w:t>over the past</w:t>
      </w:r>
      <w:r w:rsidR="781F1CA4" w:rsidRPr="3622CD63">
        <w:rPr>
          <w:sz w:val="22"/>
          <w:szCs w:val="22"/>
        </w:rPr>
        <w:t xml:space="preserve"> five</w:t>
      </w:r>
      <w:r w:rsidR="53AA45C4" w:rsidRPr="3622CD63">
        <w:rPr>
          <w:sz w:val="22"/>
          <w:szCs w:val="22"/>
        </w:rPr>
        <w:t xml:space="preserve"> years.</w:t>
      </w:r>
      <w:r w:rsidR="00526038">
        <w:rPr>
          <w:sz w:val="22"/>
          <w:szCs w:val="22"/>
        </w:rPr>
        <w:t xml:space="preserve"> The </w:t>
      </w:r>
      <w:r w:rsidR="00936895">
        <w:rPr>
          <w:sz w:val="22"/>
          <w:szCs w:val="22"/>
        </w:rPr>
        <w:t>Department</w:t>
      </w:r>
      <w:r w:rsidR="00DE02E9">
        <w:rPr>
          <w:sz w:val="22"/>
          <w:szCs w:val="22"/>
        </w:rPr>
        <w:t xml:space="preserve"> receives federal funding to provide </w:t>
      </w:r>
      <w:r w:rsidR="00FF3D86">
        <w:rPr>
          <w:sz w:val="22"/>
          <w:szCs w:val="22"/>
        </w:rPr>
        <w:t>partial subsidy to water systems.</w:t>
      </w:r>
    </w:p>
    <w:p w14:paraId="262AE5DD" w14:textId="7CB46BEE" w:rsidR="004D562C" w:rsidRPr="00933216" w:rsidRDefault="004D562C" w:rsidP="006A5BBE">
      <w:pPr>
        <w:spacing w:after="0"/>
        <w:rPr>
          <w:b/>
          <w:bCs/>
          <w:sz w:val="24"/>
          <w:szCs w:val="24"/>
        </w:rPr>
      </w:pPr>
      <w:r w:rsidRPr="00933216">
        <w:rPr>
          <w:b/>
          <w:bCs/>
          <w:sz w:val="24"/>
          <w:szCs w:val="24"/>
        </w:rPr>
        <w:t>Fees</w:t>
      </w:r>
    </w:p>
    <w:p w14:paraId="2E288644" w14:textId="46C7918C" w:rsidR="006A634B" w:rsidRPr="00DB4BAB" w:rsidRDefault="00104F05" w:rsidP="00F57581">
      <w:pPr>
        <w:mirrorIndents/>
        <w:rPr>
          <w:sz w:val="22"/>
          <w:szCs w:val="22"/>
        </w:rPr>
      </w:pPr>
      <w:r w:rsidRPr="00DB4BAB">
        <w:rPr>
          <w:sz w:val="22"/>
          <w:szCs w:val="22"/>
        </w:rPr>
        <w:t>The</w:t>
      </w:r>
      <w:r w:rsidR="0974A7AB" w:rsidRPr="00DB4BAB">
        <w:rPr>
          <w:sz w:val="22"/>
          <w:szCs w:val="22"/>
        </w:rPr>
        <w:t xml:space="preserve"> </w:t>
      </w:r>
      <w:r w:rsidR="7159CD0A" w:rsidRPr="00DB4BAB">
        <w:rPr>
          <w:sz w:val="22"/>
          <w:szCs w:val="22"/>
        </w:rPr>
        <w:t xml:space="preserve">fees charged </w:t>
      </w:r>
      <w:r w:rsidR="00EA02CC" w:rsidRPr="00DB4BAB">
        <w:rPr>
          <w:sz w:val="22"/>
          <w:szCs w:val="22"/>
        </w:rPr>
        <w:t>for project</w:t>
      </w:r>
      <w:r w:rsidR="7159CD0A" w:rsidRPr="00DB4BAB">
        <w:rPr>
          <w:sz w:val="22"/>
          <w:szCs w:val="22"/>
        </w:rPr>
        <w:t xml:space="preserve"> and </w:t>
      </w:r>
      <w:r w:rsidR="00EA02CC" w:rsidRPr="00DB4BAB">
        <w:rPr>
          <w:sz w:val="22"/>
          <w:szCs w:val="22"/>
        </w:rPr>
        <w:t xml:space="preserve">plan </w:t>
      </w:r>
      <w:r w:rsidR="00EA02CC">
        <w:rPr>
          <w:sz w:val="22"/>
          <w:szCs w:val="22"/>
        </w:rPr>
        <w:t>submittal</w:t>
      </w:r>
      <w:r w:rsidR="00554A94">
        <w:rPr>
          <w:sz w:val="22"/>
          <w:szCs w:val="22"/>
        </w:rPr>
        <w:t>s</w:t>
      </w:r>
      <w:r w:rsidR="00EA02CC" w:rsidRPr="00DB4BAB">
        <w:rPr>
          <w:sz w:val="22"/>
          <w:szCs w:val="22"/>
        </w:rPr>
        <w:t xml:space="preserve"> and sanitary surveys</w:t>
      </w:r>
      <w:r w:rsidR="7159CD0A" w:rsidRPr="00DB4BAB">
        <w:rPr>
          <w:sz w:val="22"/>
          <w:szCs w:val="22"/>
        </w:rPr>
        <w:t xml:space="preserve"> </w:t>
      </w:r>
      <w:r w:rsidR="0974A7AB" w:rsidRPr="00DB4BAB">
        <w:rPr>
          <w:sz w:val="22"/>
          <w:szCs w:val="22"/>
        </w:rPr>
        <w:t xml:space="preserve">generate revenue for this program </w:t>
      </w:r>
      <w:r w:rsidR="00045550" w:rsidRPr="318F951C">
        <w:rPr>
          <w:sz w:val="22"/>
          <w:szCs w:val="22"/>
        </w:rPr>
        <w:t>in</w:t>
      </w:r>
      <w:r w:rsidR="001F428F">
        <w:rPr>
          <w:sz w:val="22"/>
          <w:szCs w:val="22"/>
        </w:rPr>
        <w:t xml:space="preserve"> </w:t>
      </w:r>
      <w:hyperlink r:id="rId16">
        <w:r w:rsidR="001F428F" w:rsidRPr="3622CD63">
          <w:rPr>
            <w:rStyle w:val="Hyperlink"/>
            <w:sz w:val="22"/>
            <w:szCs w:val="22"/>
          </w:rPr>
          <w:t>WAC 246-290-990</w:t>
        </w:r>
      </w:hyperlink>
      <w:r w:rsidR="001F428F" w:rsidRPr="3622CD63">
        <w:rPr>
          <w:sz w:val="22"/>
          <w:szCs w:val="22"/>
        </w:rPr>
        <w:t xml:space="preserve">. </w:t>
      </w:r>
      <w:r w:rsidR="6C3AC0FA" w:rsidRPr="00DB4BAB">
        <w:rPr>
          <w:sz w:val="22"/>
          <w:szCs w:val="22"/>
        </w:rPr>
        <w:t xml:space="preserve">The last fee </w:t>
      </w:r>
      <w:r w:rsidR="45251E9A" w:rsidRPr="00DB4BAB">
        <w:rPr>
          <w:sz w:val="22"/>
          <w:szCs w:val="22"/>
        </w:rPr>
        <w:t>change</w:t>
      </w:r>
      <w:r w:rsidR="08674306" w:rsidRPr="00DB4BAB">
        <w:rPr>
          <w:sz w:val="22"/>
          <w:szCs w:val="22"/>
        </w:rPr>
        <w:t>s</w:t>
      </w:r>
      <w:r w:rsidR="6C3AC0FA" w:rsidRPr="00DB4BAB">
        <w:rPr>
          <w:sz w:val="22"/>
          <w:szCs w:val="22"/>
        </w:rPr>
        <w:t xml:space="preserve"> occurred </w:t>
      </w:r>
      <w:r w:rsidR="00E875EA" w:rsidRPr="00DB4BAB">
        <w:rPr>
          <w:sz w:val="22"/>
          <w:szCs w:val="22"/>
        </w:rPr>
        <w:t>in</w:t>
      </w:r>
      <w:r w:rsidR="039699EF" w:rsidRPr="00DB4BAB">
        <w:rPr>
          <w:sz w:val="22"/>
          <w:szCs w:val="22"/>
        </w:rPr>
        <w:t xml:space="preserve"> 20</w:t>
      </w:r>
      <w:r w:rsidR="7A90CBE3" w:rsidRPr="00DB4BAB">
        <w:rPr>
          <w:sz w:val="22"/>
          <w:szCs w:val="22"/>
        </w:rPr>
        <w:t>12</w:t>
      </w:r>
      <w:r w:rsidR="00CC7804" w:rsidRPr="00DB4BAB">
        <w:rPr>
          <w:sz w:val="22"/>
          <w:szCs w:val="22"/>
        </w:rPr>
        <w:t>,</w:t>
      </w:r>
      <w:r w:rsidR="7A90CBE3" w:rsidRPr="00DB4BAB">
        <w:rPr>
          <w:sz w:val="22"/>
          <w:szCs w:val="22"/>
        </w:rPr>
        <w:t xml:space="preserve"> removing </w:t>
      </w:r>
      <w:r w:rsidR="00EA02CC" w:rsidRPr="00DB4BAB">
        <w:rPr>
          <w:sz w:val="22"/>
          <w:szCs w:val="22"/>
        </w:rPr>
        <w:t xml:space="preserve">monitoring </w:t>
      </w:r>
      <w:r w:rsidR="00E875EA" w:rsidRPr="00DB4BAB">
        <w:rPr>
          <w:sz w:val="22"/>
          <w:szCs w:val="22"/>
        </w:rPr>
        <w:t>w</w:t>
      </w:r>
      <w:r w:rsidR="7A90CBE3" w:rsidRPr="00DB4BAB">
        <w:rPr>
          <w:sz w:val="22"/>
          <w:szCs w:val="22"/>
        </w:rPr>
        <w:t xml:space="preserve">aiver </w:t>
      </w:r>
      <w:r w:rsidR="00E875EA" w:rsidRPr="00DB4BAB">
        <w:rPr>
          <w:sz w:val="22"/>
          <w:szCs w:val="22"/>
        </w:rPr>
        <w:t>f</w:t>
      </w:r>
      <w:r w:rsidR="7A90CBE3" w:rsidRPr="00DB4BAB">
        <w:rPr>
          <w:sz w:val="22"/>
          <w:szCs w:val="22"/>
        </w:rPr>
        <w:t>ees</w:t>
      </w:r>
      <w:r w:rsidR="00ED5FE8" w:rsidRPr="00DB4BAB">
        <w:rPr>
          <w:sz w:val="22"/>
          <w:szCs w:val="22"/>
        </w:rPr>
        <w:t xml:space="preserve"> </w:t>
      </w:r>
      <w:r w:rsidR="1F70AE25" w:rsidRPr="00DB4BAB">
        <w:rPr>
          <w:sz w:val="22"/>
          <w:szCs w:val="22"/>
        </w:rPr>
        <w:t>which</w:t>
      </w:r>
      <w:r w:rsidR="00E144E4" w:rsidRPr="00DB4BAB">
        <w:rPr>
          <w:sz w:val="22"/>
          <w:szCs w:val="22"/>
        </w:rPr>
        <w:t xml:space="preserve"> are now covering in the water system operating permit fee. </w:t>
      </w:r>
    </w:p>
    <w:p w14:paraId="102E90D9" w14:textId="6A6D4787" w:rsidR="00AD12E4" w:rsidRDefault="28A14FD7" w:rsidP="009928B5">
      <w:pPr>
        <w:spacing w:before="120" w:line="286" w:lineRule="auto"/>
        <w:mirrorIndents/>
        <w:rPr>
          <w:sz w:val="22"/>
          <w:szCs w:val="22"/>
        </w:rPr>
      </w:pPr>
      <w:r w:rsidRPr="4C1C12C1">
        <w:rPr>
          <w:sz w:val="22"/>
          <w:szCs w:val="22"/>
        </w:rPr>
        <w:t>For th</w:t>
      </w:r>
      <w:r w:rsidR="0475002E" w:rsidRPr="4C1C12C1">
        <w:rPr>
          <w:sz w:val="22"/>
          <w:szCs w:val="22"/>
        </w:rPr>
        <w:t xml:space="preserve">e </w:t>
      </w:r>
      <w:r w:rsidR="0B1024AF" w:rsidRPr="4C1C12C1">
        <w:rPr>
          <w:sz w:val="22"/>
          <w:szCs w:val="22"/>
        </w:rPr>
        <w:t xml:space="preserve">past </w:t>
      </w:r>
      <w:r w:rsidR="00B84BE6">
        <w:rPr>
          <w:sz w:val="22"/>
          <w:szCs w:val="22"/>
        </w:rPr>
        <w:t>six</w:t>
      </w:r>
      <w:r w:rsidR="0B1024AF" w:rsidRPr="4C1C12C1">
        <w:rPr>
          <w:sz w:val="22"/>
          <w:szCs w:val="22"/>
        </w:rPr>
        <w:t xml:space="preserve"> years</w:t>
      </w:r>
      <w:r w:rsidR="37CF4942" w:rsidRPr="4C1C12C1">
        <w:rPr>
          <w:sz w:val="22"/>
          <w:szCs w:val="22"/>
        </w:rPr>
        <w:t>,</w:t>
      </w:r>
      <w:r w:rsidRPr="4C1C12C1">
        <w:rPr>
          <w:sz w:val="22"/>
          <w:szCs w:val="22"/>
        </w:rPr>
        <w:t xml:space="preserve"> revenue </w:t>
      </w:r>
      <w:r w:rsidR="4E4C572A" w:rsidRPr="4C1C12C1">
        <w:rPr>
          <w:sz w:val="22"/>
          <w:szCs w:val="22"/>
        </w:rPr>
        <w:t>increas</w:t>
      </w:r>
      <w:r w:rsidR="246FA107" w:rsidRPr="4C1C12C1">
        <w:rPr>
          <w:sz w:val="22"/>
          <w:szCs w:val="22"/>
        </w:rPr>
        <w:t>ed</w:t>
      </w:r>
      <w:r w:rsidR="281DF6CF" w:rsidRPr="4C1C12C1">
        <w:rPr>
          <w:sz w:val="22"/>
          <w:szCs w:val="22"/>
        </w:rPr>
        <w:t xml:space="preserve"> an average of</w:t>
      </w:r>
      <w:r w:rsidR="28324B63" w:rsidRPr="4C1C12C1">
        <w:rPr>
          <w:sz w:val="22"/>
          <w:szCs w:val="22"/>
        </w:rPr>
        <w:t xml:space="preserve"> </w:t>
      </w:r>
      <w:r w:rsidR="00B84BE6">
        <w:rPr>
          <w:sz w:val="22"/>
          <w:szCs w:val="22"/>
        </w:rPr>
        <w:t>one</w:t>
      </w:r>
      <w:r w:rsidR="00F0231D">
        <w:rPr>
          <w:sz w:val="22"/>
          <w:szCs w:val="22"/>
        </w:rPr>
        <w:t xml:space="preserve"> percent </w:t>
      </w:r>
      <w:r w:rsidR="006B10EE">
        <w:rPr>
          <w:sz w:val="22"/>
          <w:szCs w:val="22"/>
        </w:rPr>
        <w:t>annually for the</w:t>
      </w:r>
      <w:r w:rsidR="00B84BE6">
        <w:rPr>
          <w:sz w:val="22"/>
          <w:szCs w:val="22"/>
        </w:rPr>
        <w:t xml:space="preserve"> entire</w:t>
      </w:r>
      <w:r w:rsidR="006B10EE">
        <w:rPr>
          <w:sz w:val="22"/>
          <w:szCs w:val="22"/>
        </w:rPr>
        <w:t xml:space="preserve"> </w:t>
      </w:r>
      <w:r w:rsidR="00FA0D2F">
        <w:rPr>
          <w:sz w:val="22"/>
          <w:szCs w:val="22"/>
        </w:rPr>
        <w:t>program, with</w:t>
      </w:r>
      <w:r w:rsidR="006B10EE">
        <w:rPr>
          <w:sz w:val="22"/>
          <w:szCs w:val="22"/>
        </w:rPr>
        <w:t xml:space="preserve"> a </w:t>
      </w:r>
      <w:r w:rsidR="00B84BE6">
        <w:rPr>
          <w:sz w:val="22"/>
          <w:szCs w:val="22"/>
        </w:rPr>
        <w:t>three</w:t>
      </w:r>
      <w:r w:rsidR="006B10EE">
        <w:rPr>
          <w:sz w:val="22"/>
          <w:szCs w:val="22"/>
        </w:rPr>
        <w:t xml:space="preserve"> </w:t>
      </w:r>
      <w:r w:rsidR="1C5266DF" w:rsidRPr="4C1C12C1">
        <w:rPr>
          <w:sz w:val="22"/>
          <w:szCs w:val="22"/>
        </w:rPr>
        <w:t>percent annual</w:t>
      </w:r>
      <w:r w:rsidR="006B10EE">
        <w:rPr>
          <w:sz w:val="22"/>
          <w:szCs w:val="22"/>
        </w:rPr>
        <w:t xml:space="preserve"> increase</w:t>
      </w:r>
      <w:r w:rsidR="2F10B4FD" w:rsidRPr="4C1C12C1">
        <w:rPr>
          <w:sz w:val="22"/>
          <w:szCs w:val="22"/>
        </w:rPr>
        <w:t xml:space="preserve"> for evaluations and </w:t>
      </w:r>
      <w:r w:rsidR="006B10EE">
        <w:rPr>
          <w:sz w:val="22"/>
          <w:szCs w:val="22"/>
        </w:rPr>
        <w:t xml:space="preserve">a </w:t>
      </w:r>
      <w:r w:rsidR="00B84BE6">
        <w:rPr>
          <w:sz w:val="22"/>
          <w:szCs w:val="22"/>
        </w:rPr>
        <w:t>three</w:t>
      </w:r>
      <w:r w:rsidR="006B10EE" w:rsidRPr="4C1C12C1">
        <w:rPr>
          <w:sz w:val="22"/>
          <w:szCs w:val="22"/>
        </w:rPr>
        <w:t xml:space="preserve"> percent </w:t>
      </w:r>
      <w:r w:rsidR="006B10EE">
        <w:rPr>
          <w:sz w:val="22"/>
          <w:szCs w:val="22"/>
        </w:rPr>
        <w:t xml:space="preserve">annual </w:t>
      </w:r>
      <w:r w:rsidR="2F10B4FD" w:rsidRPr="4C1C12C1">
        <w:rPr>
          <w:sz w:val="22"/>
          <w:szCs w:val="22"/>
        </w:rPr>
        <w:t>decrease for project reviews</w:t>
      </w:r>
      <w:r w:rsidR="00355C06">
        <w:rPr>
          <w:sz w:val="22"/>
          <w:szCs w:val="22"/>
        </w:rPr>
        <w:t>.</w:t>
      </w:r>
    </w:p>
    <w:p w14:paraId="4487733A" w14:textId="77777777" w:rsidR="006E1FC6" w:rsidRDefault="006E1FC6" w:rsidP="006E1FC6">
      <w:pPr>
        <w:pStyle w:val="NoSpacing"/>
      </w:pPr>
    </w:p>
    <w:p w14:paraId="4972E06E" w14:textId="2B85BBEE" w:rsidR="00AF534D" w:rsidRPr="00933216" w:rsidRDefault="00C30303" w:rsidP="006A5BBE">
      <w:pPr>
        <w:spacing w:after="0"/>
        <w:rPr>
          <w:b/>
          <w:bCs/>
          <w:sz w:val="24"/>
          <w:szCs w:val="24"/>
        </w:rPr>
      </w:pPr>
      <w:r w:rsidRPr="00933216">
        <w:rPr>
          <w:b/>
          <w:bCs/>
          <w:sz w:val="24"/>
          <w:szCs w:val="24"/>
        </w:rPr>
        <w:t>Expenditures</w:t>
      </w:r>
    </w:p>
    <w:p w14:paraId="48EFB200" w14:textId="28034311" w:rsidR="00E56EDF" w:rsidRPr="00F914F5" w:rsidRDefault="00F914F5" w:rsidP="00F914F5">
      <w:pPr>
        <w:mirrorIndents/>
        <w:rPr>
          <w:sz w:val="22"/>
          <w:szCs w:val="22"/>
        </w:rPr>
      </w:pPr>
      <w:r w:rsidRPr="00427624">
        <w:rPr>
          <w:sz w:val="22"/>
          <w:szCs w:val="22"/>
        </w:rPr>
        <w:t xml:space="preserve">Costs for </w:t>
      </w:r>
      <w:r>
        <w:rPr>
          <w:sz w:val="22"/>
          <w:szCs w:val="22"/>
        </w:rPr>
        <w:t xml:space="preserve">the Department’s </w:t>
      </w:r>
      <w:r w:rsidR="0086429F">
        <w:rPr>
          <w:sz w:val="22"/>
          <w:szCs w:val="22"/>
        </w:rPr>
        <w:t xml:space="preserve">Submittal Review and Sanitary Survey </w:t>
      </w:r>
      <w:r w:rsidR="00FA0D2F">
        <w:rPr>
          <w:sz w:val="22"/>
          <w:szCs w:val="22"/>
        </w:rPr>
        <w:t>program</w:t>
      </w:r>
      <w:r w:rsidR="00FA0D2F" w:rsidRPr="001714C6">
        <w:rPr>
          <w:sz w:val="22"/>
          <w:szCs w:val="22"/>
        </w:rPr>
        <w:t xml:space="preserve"> </w:t>
      </w:r>
      <w:r>
        <w:rPr>
          <w:sz w:val="22"/>
          <w:szCs w:val="22"/>
        </w:rPr>
        <w:t xml:space="preserve">are </w:t>
      </w:r>
      <w:r w:rsidRPr="00427624">
        <w:rPr>
          <w:sz w:val="22"/>
          <w:szCs w:val="22"/>
        </w:rPr>
        <w:t xml:space="preserve">classified into </w:t>
      </w:r>
      <w:r>
        <w:rPr>
          <w:sz w:val="22"/>
          <w:szCs w:val="22"/>
        </w:rPr>
        <w:t>two</w:t>
      </w:r>
      <w:r w:rsidRPr="00427624">
        <w:rPr>
          <w:sz w:val="22"/>
          <w:szCs w:val="22"/>
        </w:rPr>
        <w:t xml:space="preserve"> primary categories: </w:t>
      </w:r>
      <w:r>
        <w:rPr>
          <w:sz w:val="22"/>
          <w:szCs w:val="22"/>
        </w:rPr>
        <w:t>O</w:t>
      </w:r>
      <w:r w:rsidRPr="00427624">
        <w:rPr>
          <w:sz w:val="22"/>
          <w:szCs w:val="22"/>
        </w:rPr>
        <w:t xml:space="preserve">perations </w:t>
      </w:r>
      <w:r>
        <w:rPr>
          <w:sz w:val="22"/>
          <w:szCs w:val="22"/>
        </w:rPr>
        <w:t>and Indirect.</w:t>
      </w:r>
      <w:r w:rsidR="00567DAE" w:rsidRPr="00567DAE">
        <w:rPr>
          <w:noProof/>
          <w14:ligatures w14:val="none"/>
          <w14:cntxtAlts w14:val="0"/>
        </w:rPr>
        <w:t xml:space="preserve"> </w:t>
      </w:r>
      <w:r w:rsidR="00567DAE" w:rsidRPr="00567DAE">
        <w:rPr>
          <w:noProof/>
          <w:sz w:val="22"/>
          <w:szCs w:val="22"/>
        </w:rPr>
        <w:drawing>
          <wp:inline distT="0" distB="0" distL="0" distR="0" wp14:anchorId="455EF7EC" wp14:editId="7CC7A2D4">
            <wp:extent cx="5820587" cy="1143160"/>
            <wp:effectExtent l="0" t="0" r="0" b="0"/>
            <wp:docPr id="434324859"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324859" name="Picture 1" descr="Table&#10;&#10;AI-generated content may be incorrect."/>
                    <pic:cNvPicPr/>
                  </pic:nvPicPr>
                  <pic:blipFill>
                    <a:blip r:embed="rId17"/>
                    <a:stretch>
                      <a:fillRect/>
                    </a:stretch>
                  </pic:blipFill>
                  <pic:spPr>
                    <a:xfrm>
                      <a:off x="0" y="0"/>
                      <a:ext cx="5820587" cy="1143160"/>
                    </a:xfrm>
                    <a:prstGeom prst="rect">
                      <a:avLst/>
                    </a:prstGeom>
                  </pic:spPr>
                </pic:pic>
              </a:graphicData>
            </a:graphic>
          </wp:inline>
        </w:drawing>
      </w:r>
    </w:p>
    <w:p w14:paraId="327284EA" w14:textId="77777777" w:rsidR="00E875EA" w:rsidRDefault="00E875EA" w:rsidP="09C9F506">
      <w:pPr>
        <w:pStyle w:val="NoSpacing"/>
      </w:pPr>
    </w:p>
    <w:p w14:paraId="2EB9AA37" w14:textId="77777777" w:rsidR="00770105" w:rsidRDefault="00770105" w:rsidP="006A5BBE">
      <w:pPr>
        <w:spacing w:after="0"/>
        <w:rPr>
          <w:b/>
          <w:bCs/>
          <w:sz w:val="24"/>
          <w:szCs w:val="24"/>
        </w:rPr>
      </w:pPr>
    </w:p>
    <w:p w14:paraId="16629B60" w14:textId="77777777" w:rsidR="00770105" w:rsidRDefault="00770105" w:rsidP="006A5BBE">
      <w:pPr>
        <w:spacing w:after="0"/>
        <w:rPr>
          <w:b/>
          <w:bCs/>
          <w:sz w:val="24"/>
          <w:szCs w:val="24"/>
        </w:rPr>
      </w:pPr>
    </w:p>
    <w:p w14:paraId="49893DC4" w14:textId="77777777" w:rsidR="00770105" w:rsidRDefault="00770105" w:rsidP="006A5BBE">
      <w:pPr>
        <w:spacing w:after="0"/>
        <w:rPr>
          <w:b/>
          <w:bCs/>
          <w:sz w:val="24"/>
          <w:szCs w:val="24"/>
        </w:rPr>
      </w:pPr>
    </w:p>
    <w:p w14:paraId="2232CBA4" w14:textId="77777777" w:rsidR="00770105" w:rsidRDefault="00770105" w:rsidP="006A5BBE">
      <w:pPr>
        <w:spacing w:after="0"/>
        <w:rPr>
          <w:b/>
          <w:bCs/>
          <w:sz w:val="24"/>
          <w:szCs w:val="24"/>
        </w:rPr>
      </w:pPr>
    </w:p>
    <w:p w14:paraId="48FA1210" w14:textId="3739099E" w:rsidR="006A5BBE" w:rsidRPr="00996060" w:rsidRDefault="009F03B8" w:rsidP="006A5BBE">
      <w:pPr>
        <w:spacing w:after="0"/>
        <w:rPr>
          <w:b/>
          <w:bCs/>
          <w:sz w:val="24"/>
          <w:szCs w:val="24"/>
        </w:rPr>
      </w:pPr>
      <w:r w:rsidRPr="00125C98">
        <w:rPr>
          <w:b/>
          <w:bCs/>
          <w:sz w:val="24"/>
          <w:szCs w:val="24"/>
        </w:rPr>
        <w:t xml:space="preserve">Financial </w:t>
      </w:r>
      <w:r w:rsidR="00521077" w:rsidRPr="00125C98">
        <w:rPr>
          <w:b/>
          <w:bCs/>
          <w:sz w:val="24"/>
          <w:szCs w:val="24"/>
        </w:rPr>
        <w:t>Forecast</w:t>
      </w:r>
    </w:p>
    <w:p w14:paraId="23029F8E" w14:textId="51085D8F" w:rsidR="00626F92" w:rsidRPr="00125C98" w:rsidRDefault="00626F92" w:rsidP="006A5BBE">
      <w:pPr>
        <w:spacing w:after="0"/>
        <w:rPr>
          <w:b/>
          <w:bCs/>
          <w:sz w:val="22"/>
          <w:szCs w:val="22"/>
        </w:rPr>
      </w:pPr>
      <w:r w:rsidRPr="00125C98">
        <w:rPr>
          <w:b/>
          <w:bCs/>
          <w:sz w:val="22"/>
          <w:szCs w:val="22"/>
        </w:rPr>
        <w:t>Revenue</w:t>
      </w:r>
    </w:p>
    <w:p w14:paraId="0D15E398" w14:textId="3D22C492" w:rsidR="00AA1403" w:rsidRDefault="00AA1403" w:rsidP="00AA1403">
      <w:pPr>
        <w:mirrorIndents/>
        <w:rPr>
          <w:sz w:val="22"/>
          <w:szCs w:val="22"/>
        </w:rPr>
      </w:pPr>
      <w:r w:rsidRPr="7ECDAC8B">
        <w:rPr>
          <w:sz w:val="22"/>
          <w:szCs w:val="22"/>
        </w:rPr>
        <w:t xml:space="preserve">The Department does not anticipate any significant growth in </w:t>
      </w:r>
      <w:r w:rsidR="009053C7">
        <w:rPr>
          <w:sz w:val="22"/>
          <w:szCs w:val="22"/>
        </w:rPr>
        <w:t>water system</w:t>
      </w:r>
      <w:r w:rsidRPr="7ECDAC8B">
        <w:rPr>
          <w:sz w:val="22"/>
          <w:szCs w:val="22"/>
        </w:rPr>
        <w:t xml:space="preserve"> </w:t>
      </w:r>
      <w:r w:rsidR="005C148A">
        <w:rPr>
          <w:sz w:val="22"/>
          <w:szCs w:val="22"/>
        </w:rPr>
        <w:t>program</w:t>
      </w:r>
      <w:r w:rsidRPr="7ECDAC8B">
        <w:rPr>
          <w:sz w:val="22"/>
          <w:szCs w:val="22"/>
        </w:rPr>
        <w:t xml:space="preserve"> activities over the next five years. Operations are projected to </w:t>
      </w:r>
      <w:r>
        <w:rPr>
          <w:sz w:val="22"/>
          <w:szCs w:val="22"/>
        </w:rPr>
        <w:t xml:space="preserve">maintain a </w:t>
      </w:r>
      <w:r w:rsidR="00D22F0F">
        <w:rPr>
          <w:sz w:val="22"/>
          <w:szCs w:val="22"/>
        </w:rPr>
        <w:t>3</w:t>
      </w:r>
      <w:r w:rsidR="00C6798C">
        <w:rPr>
          <w:sz w:val="22"/>
          <w:szCs w:val="22"/>
        </w:rPr>
        <w:t xml:space="preserve"> </w:t>
      </w:r>
      <w:r w:rsidR="00C407AD">
        <w:rPr>
          <w:sz w:val="22"/>
          <w:szCs w:val="22"/>
        </w:rPr>
        <w:t>to 5</w:t>
      </w:r>
      <w:r>
        <w:rPr>
          <w:sz w:val="22"/>
          <w:szCs w:val="22"/>
        </w:rPr>
        <w:t xml:space="preserve"> </w:t>
      </w:r>
      <w:r w:rsidR="00C855B8" w:rsidRPr="318F951C">
        <w:rPr>
          <w:sz w:val="22"/>
          <w:szCs w:val="22"/>
        </w:rPr>
        <w:t>year</w:t>
      </w:r>
      <w:r w:rsidR="00DB4BAB">
        <w:rPr>
          <w:sz w:val="22"/>
          <w:szCs w:val="22"/>
        </w:rPr>
        <w:t xml:space="preserve"> </w:t>
      </w:r>
      <w:r w:rsidR="00EA02CC" w:rsidRPr="318F951C">
        <w:rPr>
          <w:sz w:val="22"/>
          <w:szCs w:val="22"/>
        </w:rPr>
        <w:t>survey</w:t>
      </w:r>
      <w:r>
        <w:rPr>
          <w:sz w:val="22"/>
          <w:szCs w:val="22"/>
        </w:rPr>
        <w:t xml:space="preserve"> cycle</w:t>
      </w:r>
      <w:r w:rsidR="00D22F0F">
        <w:rPr>
          <w:sz w:val="22"/>
          <w:szCs w:val="22"/>
        </w:rPr>
        <w:t>, with a</w:t>
      </w:r>
      <w:r w:rsidR="009D01AD">
        <w:rPr>
          <w:sz w:val="22"/>
          <w:szCs w:val="22"/>
        </w:rPr>
        <w:t>n overall</w:t>
      </w:r>
      <w:r w:rsidR="00D22F0F">
        <w:rPr>
          <w:sz w:val="22"/>
          <w:szCs w:val="22"/>
        </w:rPr>
        <w:t xml:space="preserve"> 1%</w:t>
      </w:r>
      <w:r w:rsidR="009D01AD">
        <w:rPr>
          <w:sz w:val="22"/>
          <w:szCs w:val="22"/>
        </w:rPr>
        <w:t xml:space="preserve"> revenue</w:t>
      </w:r>
      <w:r w:rsidR="00D22F0F">
        <w:rPr>
          <w:sz w:val="22"/>
          <w:szCs w:val="22"/>
        </w:rPr>
        <w:t xml:space="preserve"> increase</w:t>
      </w:r>
      <w:r w:rsidRPr="7ECDAC8B">
        <w:rPr>
          <w:sz w:val="22"/>
          <w:szCs w:val="22"/>
        </w:rPr>
        <w:t xml:space="preserve">. The Department expects these trends to continue. </w:t>
      </w:r>
    </w:p>
    <w:p w14:paraId="3C5101F6" w14:textId="1D880228" w:rsidR="00626F92" w:rsidRPr="00125C98" w:rsidRDefault="00626F92" w:rsidP="006A5BBE">
      <w:pPr>
        <w:spacing w:after="0"/>
        <w:rPr>
          <w:b/>
          <w:bCs/>
          <w:sz w:val="22"/>
          <w:szCs w:val="22"/>
        </w:rPr>
      </w:pPr>
      <w:r w:rsidRPr="00125C98">
        <w:rPr>
          <w:b/>
          <w:bCs/>
          <w:sz w:val="22"/>
          <w:szCs w:val="22"/>
        </w:rPr>
        <w:t>Expenditures</w:t>
      </w:r>
    </w:p>
    <w:p w14:paraId="2F85DE1E" w14:textId="1B3224F4" w:rsidR="0038187A" w:rsidRDefault="0038187A" w:rsidP="0038187A">
      <w:pPr>
        <w:widowControl w:val="0"/>
        <w:spacing w:line="286" w:lineRule="auto"/>
        <w:mirrorIndents/>
      </w:pPr>
      <w:r w:rsidRPr="7ECDAC8B">
        <w:rPr>
          <w:rFonts w:eastAsia="Calibri"/>
          <w:color w:val="000000" w:themeColor="text1"/>
          <w:sz w:val="22"/>
          <w:szCs w:val="22"/>
        </w:rPr>
        <w:t xml:space="preserve">The Department anticipates costs </w:t>
      </w:r>
      <w:r w:rsidR="00950971">
        <w:rPr>
          <w:rFonts w:eastAsia="Calibri"/>
          <w:color w:val="000000" w:themeColor="text1"/>
          <w:sz w:val="22"/>
          <w:szCs w:val="22"/>
        </w:rPr>
        <w:t xml:space="preserve">to complete </w:t>
      </w:r>
      <w:proofErr w:type="gramStart"/>
      <w:r w:rsidR="00895FEB">
        <w:rPr>
          <w:rFonts w:eastAsia="Calibri"/>
          <w:color w:val="000000" w:themeColor="text1"/>
          <w:sz w:val="22"/>
          <w:szCs w:val="22"/>
        </w:rPr>
        <w:t>project</w:t>
      </w:r>
      <w:proofErr w:type="gramEnd"/>
      <w:r w:rsidR="00895FEB">
        <w:rPr>
          <w:rFonts w:eastAsia="Calibri"/>
          <w:color w:val="000000" w:themeColor="text1"/>
          <w:sz w:val="22"/>
          <w:szCs w:val="22"/>
        </w:rPr>
        <w:t xml:space="preserve"> and plans reviews and sanitary survey</w:t>
      </w:r>
      <w:r w:rsidR="005C148A" w:rsidRPr="001714C6">
        <w:rPr>
          <w:sz w:val="22"/>
          <w:szCs w:val="22"/>
        </w:rPr>
        <w:t xml:space="preserve"> </w:t>
      </w:r>
      <w:r w:rsidRPr="7ECDAC8B">
        <w:rPr>
          <w:rFonts w:eastAsia="Calibri"/>
          <w:color w:val="000000" w:themeColor="text1"/>
          <w:sz w:val="22"/>
          <w:szCs w:val="22"/>
        </w:rPr>
        <w:t xml:space="preserve">personnel to increase by three percent annually. Cost increases are primarily due to inflation for </w:t>
      </w:r>
      <w:r w:rsidR="006F79E2">
        <w:rPr>
          <w:rFonts w:eastAsia="Calibri"/>
          <w:color w:val="000000" w:themeColor="text1"/>
          <w:sz w:val="22"/>
          <w:szCs w:val="22"/>
        </w:rPr>
        <w:t xml:space="preserve">travel and </w:t>
      </w:r>
      <w:r w:rsidRPr="7ECDAC8B">
        <w:rPr>
          <w:rFonts w:eastAsia="Calibri"/>
          <w:color w:val="000000" w:themeColor="text1"/>
          <w:sz w:val="22"/>
          <w:szCs w:val="22"/>
        </w:rPr>
        <w:t>personnel-related costs.</w:t>
      </w:r>
      <w:r w:rsidRPr="7ECDAC8B">
        <w:rPr>
          <w:noProof/>
        </w:rPr>
        <w:t xml:space="preserve"> </w:t>
      </w:r>
      <w:r w:rsidRPr="7ECDAC8B">
        <w:rPr>
          <w:noProof/>
          <w:sz w:val="22"/>
          <w:szCs w:val="22"/>
        </w:rPr>
        <w:t xml:space="preserve">The </w:t>
      </w:r>
      <w:r w:rsidR="005963D3">
        <w:rPr>
          <w:sz w:val="22"/>
          <w:szCs w:val="22"/>
        </w:rPr>
        <w:t>Departments drinking water</w:t>
      </w:r>
      <w:r w:rsidR="005C148A" w:rsidRPr="00B92A40">
        <w:rPr>
          <w:sz w:val="22"/>
          <w:szCs w:val="22"/>
        </w:rPr>
        <w:t xml:space="preserve"> </w:t>
      </w:r>
      <w:r w:rsidR="005C148A">
        <w:rPr>
          <w:sz w:val="22"/>
          <w:szCs w:val="22"/>
        </w:rPr>
        <w:t>program</w:t>
      </w:r>
      <w:r w:rsidR="005C148A" w:rsidRPr="001714C6">
        <w:rPr>
          <w:sz w:val="22"/>
          <w:szCs w:val="22"/>
        </w:rPr>
        <w:t xml:space="preserve"> </w:t>
      </w:r>
      <w:r w:rsidRPr="7ECDAC8B">
        <w:rPr>
          <w:noProof/>
          <w:sz w:val="22"/>
          <w:szCs w:val="22"/>
        </w:rPr>
        <w:t xml:space="preserve">needs </w:t>
      </w:r>
      <w:r w:rsidRPr="7ECDAC8B">
        <w:rPr>
          <w:sz w:val="22"/>
          <w:szCs w:val="22"/>
        </w:rPr>
        <w:t>a fee adjustment to address existing program deficits, reductions in funding from the General Fund State (GFS) account</w:t>
      </w:r>
      <w:r>
        <w:rPr>
          <w:sz w:val="22"/>
          <w:szCs w:val="22"/>
        </w:rPr>
        <w:t>,</w:t>
      </w:r>
      <w:r w:rsidRPr="7ECDAC8B">
        <w:rPr>
          <w:sz w:val="22"/>
          <w:szCs w:val="22"/>
        </w:rPr>
        <w:t xml:space="preserve"> and cost-of-living adjustments made in the 2025-2027 state budget (ESSB 5167).</w:t>
      </w:r>
    </w:p>
    <w:p w14:paraId="4F1BCB7E" w14:textId="3C93C4DB" w:rsidR="00626F92" w:rsidRPr="00125C98" w:rsidRDefault="00B7053F" w:rsidP="006A5BBE">
      <w:pPr>
        <w:spacing w:after="0"/>
        <w:rPr>
          <w:b/>
          <w:bCs/>
          <w:sz w:val="22"/>
          <w:szCs w:val="22"/>
        </w:rPr>
      </w:pPr>
      <w:r w:rsidRPr="00125C98">
        <w:rPr>
          <w:b/>
          <w:bCs/>
          <w:sz w:val="22"/>
          <w:szCs w:val="22"/>
        </w:rPr>
        <w:t>Fee</w:t>
      </w:r>
      <w:r w:rsidR="00626F92" w:rsidRPr="00125C98">
        <w:rPr>
          <w:b/>
          <w:bCs/>
          <w:sz w:val="22"/>
          <w:szCs w:val="22"/>
        </w:rPr>
        <w:t xml:space="preserve"> Reserve</w:t>
      </w:r>
    </w:p>
    <w:p w14:paraId="398C2419" w14:textId="78AD82CC" w:rsidR="003252D4" w:rsidRDefault="003252D4" w:rsidP="003252D4">
      <w:pPr>
        <w:widowControl w:val="0"/>
        <w:spacing w:line="286" w:lineRule="auto"/>
        <w:mirrorIndents/>
        <w:rPr>
          <w:rFonts w:ascii="Cambria" w:hAnsi="Cambria"/>
          <w:color w:val="2F5496" w:themeColor="accent5" w:themeShade="BF"/>
          <w:sz w:val="24"/>
          <w:szCs w:val="24"/>
        </w:rPr>
      </w:pPr>
      <w:bookmarkStart w:id="1" w:name="_Toc198119590"/>
      <w:r w:rsidRPr="7ECDAC8B">
        <w:rPr>
          <w:rFonts w:eastAsia="Calibri"/>
          <w:color w:val="000000" w:themeColor="text1"/>
          <w:sz w:val="22"/>
          <w:szCs w:val="22"/>
        </w:rPr>
        <w:t xml:space="preserve">The </w:t>
      </w:r>
      <w:r w:rsidR="001B0818">
        <w:rPr>
          <w:sz w:val="22"/>
          <w:szCs w:val="22"/>
        </w:rPr>
        <w:t>Department drinking water</w:t>
      </w:r>
      <w:r w:rsidRPr="00B92A40">
        <w:rPr>
          <w:sz w:val="22"/>
          <w:szCs w:val="22"/>
        </w:rPr>
        <w:t xml:space="preserve"> </w:t>
      </w:r>
      <w:r>
        <w:rPr>
          <w:sz w:val="22"/>
          <w:szCs w:val="22"/>
        </w:rPr>
        <w:t>program</w:t>
      </w:r>
      <w:r w:rsidRPr="001714C6">
        <w:rPr>
          <w:sz w:val="22"/>
          <w:szCs w:val="22"/>
        </w:rPr>
        <w:t xml:space="preserve"> </w:t>
      </w:r>
      <w:r w:rsidRPr="7ECDAC8B">
        <w:rPr>
          <w:rFonts w:eastAsia="Calibri"/>
          <w:color w:val="000000" w:themeColor="text1"/>
          <w:sz w:val="22"/>
          <w:szCs w:val="22"/>
        </w:rPr>
        <w:t xml:space="preserve">is not expected to generate enough revenue to cover costs </w:t>
      </w:r>
      <w:r w:rsidR="001B0818">
        <w:rPr>
          <w:rFonts w:eastAsia="Calibri"/>
          <w:color w:val="000000" w:themeColor="text1"/>
          <w:sz w:val="22"/>
          <w:szCs w:val="22"/>
        </w:rPr>
        <w:t xml:space="preserve">for this work </w:t>
      </w:r>
      <w:r w:rsidRPr="7ECDAC8B">
        <w:rPr>
          <w:rFonts w:eastAsia="Calibri"/>
          <w:color w:val="000000" w:themeColor="text1"/>
          <w:sz w:val="22"/>
          <w:szCs w:val="22"/>
        </w:rPr>
        <w:t>over the next six years</w:t>
      </w:r>
      <w:r>
        <w:rPr>
          <w:rFonts w:eastAsia="Calibri"/>
          <w:color w:val="000000" w:themeColor="text1"/>
          <w:sz w:val="22"/>
          <w:szCs w:val="22"/>
        </w:rPr>
        <w:t>,</w:t>
      </w:r>
      <w:r w:rsidRPr="7ECDAC8B">
        <w:rPr>
          <w:rFonts w:eastAsia="Calibri"/>
          <w:color w:val="000000" w:themeColor="text1"/>
          <w:sz w:val="22"/>
          <w:szCs w:val="22"/>
        </w:rPr>
        <w:t xml:space="preserve"> </w:t>
      </w:r>
      <w:r w:rsidRPr="4E3FC84D">
        <w:rPr>
          <w:rFonts w:eastAsia="Calibri"/>
          <w:color w:val="000000" w:themeColor="text1"/>
          <w:sz w:val="22"/>
          <w:szCs w:val="22"/>
        </w:rPr>
        <w:t xml:space="preserve">which </w:t>
      </w:r>
      <w:r>
        <w:rPr>
          <w:rFonts w:eastAsia="Calibri"/>
          <w:color w:val="000000" w:themeColor="text1"/>
          <w:sz w:val="22"/>
          <w:szCs w:val="22"/>
        </w:rPr>
        <w:t xml:space="preserve">will </w:t>
      </w:r>
      <w:r w:rsidR="00242863">
        <w:rPr>
          <w:rFonts w:eastAsia="Calibri"/>
          <w:color w:val="000000" w:themeColor="text1"/>
          <w:sz w:val="22"/>
          <w:szCs w:val="22"/>
        </w:rPr>
        <w:t>continue to increase the</w:t>
      </w:r>
      <w:r w:rsidRPr="4E3FC84D">
        <w:rPr>
          <w:rFonts w:eastAsia="Calibri"/>
          <w:color w:val="000000" w:themeColor="text1"/>
          <w:sz w:val="22"/>
          <w:szCs w:val="22"/>
        </w:rPr>
        <w:t xml:space="preserve"> reserve fee </w:t>
      </w:r>
      <w:r w:rsidR="00242863">
        <w:rPr>
          <w:rFonts w:eastAsia="Calibri"/>
          <w:color w:val="000000" w:themeColor="text1"/>
          <w:sz w:val="22"/>
          <w:szCs w:val="22"/>
        </w:rPr>
        <w:t xml:space="preserve">deficit </w:t>
      </w:r>
      <w:r w:rsidRPr="4E3FC84D">
        <w:rPr>
          <w:rFonts w:eastAsia="Calibri"/>
          <w:color w:val="000000" w:themeColor="text1"/>
          <w:sz w:val="22"/>
          <w:szCs w:val="22"/>
        </w:rPr>
        <w:t>balance.</w:t>
      </w:r>
    </w:p>
    <w:p w14:paraId="5051B78F" w14:textId="32CA57AA" w:rsidR="003252D4" w:rsidRPr="009131E1" w:rsidRDefault="003252D4" w:rsidP="003252D4">
      <w:pPr>
        <w:widowControl w:val="0"/>
        <w:spacing w:line="286" w:lineRule="auto"/>
        <w:mirrorIndents/>
        <w:rPr>
          <w:sz w:val="22"/>
          <w:szCs w:val="22"/>
        </w:rPr>
      </w:pPr>
      <w:r>
        <w:rPr>
          <w:sz w:val="22"/>
          <w:szCs w:val="22"/>
        </w:rPr>
        <w:t>The chart below shows actual revenue and expenditures from FY 2019 through FY 2024, and projected revenue and expenditures from FY 2025 through FY 2031.</w:t>
      </w:r>
      <w:r w:rsidR="00785E01" w:rsidRPr="00785E01">
        <w:rPr>
          <w:noProof/>
          <w14:ligatures w14:val="none"/>
          <w14:cntxtAlts w14:val="0"/>
        </w:rPr>
        <w:t xml:space="preserve"> </w:t>
      </w:r>
      <w:r w:rsidR="00785E01" w:rsidRPr="00785E01">
        <w:rPr>
          <w:noProof/>
          <w:sz w:val="22"/>
          <w:szCs w:val="22"/>
        </w:rPr>
        <w:drawing>
          <wp:inline distT="0" distB="0" distL="0" distR="0" wp14:anchorId="2622E193" wp14:editId="1D29C4D7">
            <wp:extent cx="5646717" cy="2226310"/>
            <wp:effectExtent l="0" t="0" r="0" b="2540"/>
            <wp:docPr id="988922238" name="Picture 1" descr="A picture containing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22238" name="Picture 1" descr="A picture containing chart&#10;&#10;AI-generated content may be incorrect."/>
                    <pic:cNvPicPr/>
                  </pic:nvPicPr>
                  <pic:blipFill>
                    <a:blip r:embed="rId18"/>
                    <a:stretch>
                      <a:fillRect/>
                    </a:stretch>
                  </pic:blipFill>
                  <pic:spPr>
                    <a:xfrm>
                      <a:off x="0" y="0"/>
                      <a:ext cx="5660989" cy="2231937"/>
                    </a:xfrm>
                    <a:prstGeom prst="rect">
                      <a:avLst/>
                    </a:prstGeom>
                  </pic:spPr>
                </pic:pic>
              </a:graphicData>
            </a:graphic>
          </wp:inline>
        </w:drawing>
      </w:r>
    </w:p>
    <w:p w14:paraId="25206B2D" w14:textId="77777777" w:rsidR="004461D4" w:rsidRDefault="004461D4" w:rsidP="09C9F506">
      <w:pPr>
        <w:pStyle w:val="NoSpacing"/>
      </w:pPr>
    </w:p>
    <w:p w14:paraId="40EBBF2B" w14:textId="5781AEEC" w:rsidR="00C30303" w:rsidRPr="006A5BBE" w:rsidRDefault="00C30303" w:rsidP="003252D4">
      <w:pPr>
        <w:widowControl w:val="0"/>
        <w:spacing w:line="286" w:lineRule="auto"/>
        <w:mirrorIndents/>
        <w:rPr>
          <w:b/>
          <w:bCs/>
          <w:sz w:val="24"/>
          <w:szCs w:val="24"/>
        </w:rPr>
      </w:pPr>
      <w:r w:rsidRPr="006A5BBE">
        <w:rPr>
          <w:b/>
          <w:bCs/>
          <w:sz w:val="24"/>
          <w:szCs w:val="24"/>
        </w:rPr>
        <w:t>Fee Proposal</w:t>
      </w:r>
      <w:bookmarkEnd w:id="1"/>
      <w:r w:rsidR="000312A7" w:rsidRPr="006A5BBE">
        <w:rPr>
          <w:b/>
          <w:bCs/>
          <w:sz w:val="24"/>
          <w:szCs w:val="24"/>
        </w:rPr>
        <w:t xml:space="preserve"> </w:t>
      </w:r>
    </w:p>
    <w:p w14:paraId="18BAD926" w14:textId="05A4E716" w:rsidR="00024D45" w:rsidRDefault="002C44CD" w:rsidP="002C44CD">
      <w:pPr>
        <w:rPr>
          <w:sz w:val="22"/>
          <w:szCs w:val="22"/>
        </w:rPr>
      </w:pPr>
      <w:r w:rsidRPr="7ECDAC8B">
        <w:rPr>
          <w:sz w:val="22"/>
          <w:szCs w:val="22"/>
        </w:rPr>
        <w:t>To address existing program deficits, reductions in funding from the General Fund State (GFS) account</w:t>
      </w:r>
      <w:r>
        <w:rPr>
          <w:sz w:val="22"/>
          <w:szCs w:val="22"/>
        </w:rPr>
        <w:t>,</w:t>
      </w:r>
      <w:r w:rsidRPr="7ECDAC8B">
        <w:rPr>
          <w:sz w:val="22"/>
          <w:szCs w:val="22"/>
        </w:rPr>
        <w:t xml:space="preserve"> and cost-of-living adjustments made in the 2025-2027 state budget (ESSB 5167), and bring the </w:t>
      </w:r>
      <w:r w:rsidR="007E747D">
        <w:rPr>
          <w:sz w:val="22"/>
          <w:szCs w:val="22"/>
        </w:rPr>
        <w:t>Submittal Review and Sanitary Survey</w:t>
      </w:r>
      <w:r w:rsidR="00994675" w:rsidRPr="00B92A40">
        <w:rPr>
          <w:sz w:val="22"/>
          <w:szCs w:val="22"/>
        </w:rPr>
        <w:t xml:space="preserve"> </w:t>
      </w:r>
      <w:r w:rsidR="00224A88">
        <w:rPr>
          <w:sz w:val="22"/>
          <w:szCs w:val="22"/>
        </w:rPr>
        <w:t xml:space="preserve">program </w:t>
      </w:r>
      <w:r w:rsidRPr="7ECDAC8B">
        <w:rPr>
          <w:sz w:val="22"/>
          <w:szCs w:val="22"/>
        </w:rPr>
        <w:t>fee balance into alignment with requirements, the following fees are proposed:</w:t>
      </w:r>
    </w:p>
    <w:tbl>
      <w:tblPr>
        <w:tblW w:w="8740" w:type="dxa"/>
        <w:tblCellMar>
          <w:top w:w="15" w:type="dxa"/>
          <w:bottom w:w="15" w:type="dxa"/>
        </w:tblCellMar>
        <w:tblLook w:val="04A0" w:firstRow="1" w:lastRow="0" w:firstColumn="1" w:lastColumn="0" w:noHBand="0" w:noVBand="1"/>
      </w:tblPr>
      <w:tblGrid>
        <w:gridCol w:w="3600"/>
        <w:gridCol w:w="3780"/>
        <w:gridCol w:w="1360"/>
      </w:tblGrid>
      <w:tr w:rsidR="00024D45" w:rsidRPr="00024D45" w14:paraId="73E39D54" w14:textId="77777777" w:rsidTr="00024D45">
        <w:trPr>
          <w:trHeight w:val="555"/>
        </w:trPr>
        <w:tc>
          <w:tcPr>
            <w:tcW w:w="8740" w:type="dxa"/>
            <w:gridSpan w:val="3"/>
            <w:tcBorders>
              <w:top w:val="single" w:sz="8" w:space="0" w:color="000000"/>
              <w:left w:val="single" w:sz="8" w:space="0" w:color="000000"/>
              <w:bottom w:val="nil"/>
              <w:right w:val="nil"/>
            </w:tcBorders>
            <w:shd w:val="clear" w:color="000000" w:fill="00B0F0"/>
            <w:noWrap/>
            <w:vAlign w:val="center"/>
            <w:hideMark/>
          </w:tcPr>
          <w:p w14:paraId="53295661" w14:textId="77777777" w:rsidR="00024D45" w:rsidRPr="00024D45" w:rsidRDefault="00024D45" w:rsidP="00024D45">
            <w:pPr>
              <w:spacing w:after="0" w:line="240" w:lineRule="auto"/>
              <w:jc w:val="center"/>
              <w:rPr>
                <w:b/>
                <w:bCs/>
                <w:kern w:val="0"/>
                <w:sz w:val="28"/>
                <w:szCs w:val="28"/>
                <w14:ligatures w14:val="none"/>
                <w14:cntxtAlts w14:val="0"/>
              </w:rPr>
            </w:pPr>
            <w:r w:rsidRPr="00024D45">
              <w:rPr>
                <w:b/>
                <w:bCs/>
                <w:kern w:val="0"/>
                <w:sz w:val="28"/>
                <w:szCs w:val="28"/>
                <w14:ligatures w14:val="none"/>
                <w14:cntxtAlts w14:val="0"/>
              </w:rPr>
              <w:t>Fee Proposal</w:t>
            </w:r>
          </w:p>
        </w:tc>
      </w:tr>
      <w:tr w:rsidR="00024D45" w:rsidRPr="00024D45" w14:paraId="1412AB73" w14:textId="77777777" w:rsidTr="001A4926">
        <w:trPr>
          <w:trHeight w:val="300"/>
        </w:trPr>
        <w:tc>
          <w:tcPr>
            <w:tcW w:w="3600" w:type="dxa"/>
            <w:tcBorders>
              <w:top w:val="single" w:sz="8" w:space="0" w:color="000000"/>
              <w:left w:val="single" w:sz="8" w:space="0" w:color="000000"/>
              <w:bottom w:val="single" w:sz="4" w:space="0" w:color="auto"/>
              <w:right w:val="single" w:sz="4" w:space="0" w:color="auto"/>
            </w:tcBorders>
            <w:shd w:val="clear" w:color="000000" w:fill="00B0F0"/>
            <w:noWrap/>
            <w:vAlign w:val="center"/>
            <w:hideMark/>
          </w:tcPr>
          <w:p w14:paraId="7E179466" w14:textId="77777777" w:rsidR="00024D45" w:rsidRPr="00024D45" w:rsidRDefault="00024D45" w:rsidP="00024D45">
            <w:pPr>
              <w:spacing w:after="0" w:line="240" w:lineRule="auto"/>
              <w:jc w:val="center"/>
              <w:rPr>
                <w:b/>
                <w:bCs/>
                <w:kern w:val="0"/>
                <w:sz w:val="22"/>
                <w:szCs w:val="22"/>
                <w14:ligatures w14:val="none"/>
                <w14:cntxtAlts w14:val="0"/>
              </w:rPr>
            </w:pPr>
            <w:r w:rsidRPr="00024D45">
              <w:rPr>
                <w:b/>
                <w:bCs/>
                <w:kern w:val="0"/>
                <w:sz w:val="22"/>
                <w:szCs w:val="22"/>
                <w14:ligatures w14:val="none"/>
                <w14:cntxtAlts w14:val="0"/>
              </w:rPr>
              <w:t>Type</w:t>
            </w:r>
          </w:p>
        </w:tc>
        <w:tc>
          <w:tcPr>
            <w:tcW w:w="3780" w:type="dxa"/>
            <w:tcBorders>
              <w:top w:val="single" w:sz="8" w:space="0" w:color="000000"/>
              <w:left w:val="nil"/>
              <w:bottom w:val="single" w:sz="4" w:space="0" w:color="auto"/>
              <w:right w:val="single" w:sz="8" w:space="0" w:color="000000"/>
            </w:tcBorders>
            <w:shd w:val="clear" w:color="000000" w:fill="00B0F0"/>
            <w:noWrap/>
            <w:vAlign w:val="center"/>
            <w:hideMark/>
          </w:tcPr>
          <w:p w14:paraId="69A51B0B" w14:textId="77777777" w:rsidR="00024D45" w:rsidRPr="00024D45" w:rsidRDefault="00024D45" w:rsidP="00024D45">
            <w:pPr>
              <w:spacing w:after="0" w:line="240" w:lineRule="auto"/>
              <w:jc w:val="center"/>
              <w:rPr>
                <w:b/>
                <w:bCs/>
                <w:kern w:val="0"/>
                <w:sz w:val="22"/>
                <w:szCs w:val="22"/>
                <w14:ligatures w14:val="none"/>
                <w14:cntxtAlts w14:val="0"/>
              </w:rPr>
            </w:pPr>
            <w:r w:rsidRPr="00024D45">
              <w:rPr>
                <w:b/>
                <w:bCs/>
                <w:kern w:val="0"/>
                <w:sz w:val="22"/>
                <w:szCs w:val="22"/>
                <w14:ligatures w14:val="none"/>
                <w14:cntxtAlts w14:val="0"/>
              </w:rPr>
              <w:t>Title of Fee</w:t>
            </w:r>
          </w:p>
        </w:tc>
        <w:tc>
          <w:tcPr>
            <w:tcW w:w="1360" w:type="dxa"/>
            <w:tcBorders>
              <w:top w:val="single" w:sz="8" w:space="0" w:color="000000"/>
              <w:left w:val="nil"/>
              <w:bottom w:val="nil"/>
              <w:right w:val="single" w:sz="8" w:space="0" w:color="000000"/>
            </w:tcBorders>
            <w:shd w:val="clear" w:color="000000" w:fill="00B0F0"/>
            <w:noWrap/>
            <w:vAlign w:val="center"/>
            <w:hideMark/>
          </w:tcPr>
          <w:p w14:paraId="7E0B56ED" w14:textId="77777777" w:rsidR="00024D45" w:rsidRPr="00024D45" w:rsidRDefault="00024D45" w:rsidP="00024D45">
            <w:pPr>
              <w:spacing w:after="0" w:line="240" w:lineRule="auto"/>
              <w:jc w:val="center"/>
              <w:rPr>
                <w:b/>
                <w:bCs/>
                <w:kern w:val="0"/>
                <w:sz w:val="22"/>
                <w:szCs w:val="22"/>
                <w14:ligatures w14:val="none"/>
                <w14:cntxtAlts w14:val="0"/>
              </w:rPr>
            </w:pPr>
            <w:r w:rsidRPr="00024D45">
              <w:rPr>
                <w:b/>
                <w:bCs/>
                <w:kern w:val="0"/>
                <w:sz w:val="22"/>
                <w:szCs w:val="22"/>
                <w14:ligatures w14:val="none"/>
                <w14:cntxtAlts w14:val="0"/>
              </w:rPr>
              <w:t>Proposed Fee</w:t>
            </w:r>
          </w:p>
        </w:tc>
      </w:tr>
      <w:tr w:rsidR="00024D45" w:rsidRPr="00024D45" w14:paraId="58E9F36C" w14:textId="77777777" w:rsidTr="001A4926">
        <w:trPr>
          <w:trHeight w:val="2790"/>
        </w:trPr>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2B481D3E" w14:textId="77777777" w:rsidR="00024D45" w:rsidRPr="00024D45" w:rsidRDefault="00024D45" w:rsidP="00024D45">
            <w:pPr>
              <w:spacing w:after="0" w:line="240" w:lineRule="auto"/>
              <w:jc w:val="center"/>
              <w:rPr>
                <w:b/>
                <w:bCs/>
                <w:kern w:val="0"/>
                <w:sz w:val="22"/>
                <w:szCs w:val="22"/>
                <w14:ligatures w14:val="none"/>
                <w14:cntxtAlts w14:val="0"/>
              </w:rPr>
            </w:pPr>
            <w:r w:rsidRPr="00024D45">
              <w:rPr>
                <w:b/>
                <w:bCs/>
                <w:kern w:val="0"/>
                <w:sz w:val="22"/>
                <w:szCs w:val="22"/>
                <w14:ligatures w14:val="none"/>
                <w14:cntxtAlts w14:val="0"/>
              </w:rPr>
              <w:lastRenderedPageBreak/>
              <w:t>Submittal Reviews</w:t>
            </w:r>
          </w:p>
        </w:tc>
        <w:tc>
          <w:tcPr>
            <w:tcW w:w="3780" w:type="dxa"/>
            <w:tcBorders>
              <w:top w:val="single" w:sz="4" w:space="0" w:color="auto"/>
              <w:left w:val="single" w:sz="4" w:space="0" w:color="auto"/>
              <w:bottom w:val="single" w:sz="4" w:space="0" w:color="auto"/>
              <w:right w:val="single" w:sz="4" w:space="0" w:color="auto"/>
            </w:tcBorders>
            <w:vAlign w:val="bottom"/>
            <w:hideMark/>
          </w:tcPr>
          <w:p w14:paraId="08968B6C" w14:textId="2BC8C2A5"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 xml:space="preserve">Group B workbooks, small water system management programs, water system plan amendments, new groundwater sources, chemical addition only, water line installation, booster pump stations, source modifications, surface or groundwater treatment modifications, new reservoirs, and existing system </w:t>
            </w:r>
            <w:r w:rsidR="00E062DE">
              <w:rPr>
                <w:kern w:val="0"/>
                <w:sz w:val="22"/>
                <w:szCs w:val="22"/>
                <w14:ligatures w14:val="none"/>
                <w14:cntxtAlts w14:val="0"/>
              </w:rPr>
              <w:t>review</w:t>
            </w:r>
            <w:r w:rsidR="00E062DE" w:rsidRPr="00024D45">
              <w:rPr>
                <w:kern w:val="0"/>
                <w:sz w:val="22"/>
                <w:szCs w:val="22"/>
                <w14:ligatures w14:val="none"/>
                <w14:cntxtAlts w14:val="0"/>
              </w:rPr>
              <w:t>s</w:t>
            </w:r>
            <w:r w:rsidRPr="00024D45">
              <w:rPr>
                <w:kern w:val="0"/>
                <w:sz w:val="22"/>
                <w:szCs w:val="22"/>
                <w14:ligatures w14:val="none"/>
                <w14:cntxtAlts w14:val="0"/>
              </w:rPr>
              <w:t xml:space="preserve"> </w:t>
            </w:r>
            <w:r w:rsidR="000832FC">
              <w:rPr>
                <w:kern w:val="0"/>
                <w:sz w:val="22"/>
                <w:szCs w:val="22"/>
                <w14:ligatures w14:val="none"/>
                <w14:cntxtAlts w14:val="0"/>
              </w:rPr>
              <w:t>(</w:t>
            </w:r>
            <w:r w:rsidRPr="00024D45">
              <w:rPr>
                <w:kern w:val="0"/>
                <w:sz w:val="22"/>
                <w:szCs w:val="22"/>
                <w14:ligatures w14:val="none"/>
                <w14:cntxtAlts w14:val="0"/>
              </w:rPr>
              <w:t>up to 4 hours</w:t>
            </w:r>
            <w:r w:rsidR="000832FC">
              <w:rPr>
                <w:kern w:val="0"/>
                <w:sz w:val="22"/>
                <w:szCs w:val="22"/>
                <w14:ligatures w14:val="none"/>
                <w14:cntxtAlts w14:val="0"/>
              </w:rPr>
              <w:t>)</w:t>
            </w:r>
          </w:p>
        </w:tc>
        <w:tc>
          <w:tcPr>
            <w:tcW w:w="1360" w:type="dxa"/>
            <w:tcBorders>
              <w:top w:val="single" w:sz="8" w:space="0" w:color="000000"/>
              <w:left w:val="single" w:sz="4" w:space="0" w:color="auto"/>
              <w:bottom w:val="single" w:sz="4" w:space="0" w:color="auto"/>
              <w:right w:val="single" w:sz="8" w:space="0" w:color="000000"/>
            </w:tcBorders>
            <w:noWrap/>
            <w:vAlign w:val="center"/>
            <w:hideMark/>
          </w:tcPr>
          <w:p w14:paraId="126F750B"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$880</w:t>
            </w:r>
          </w:p>
        </w:tc>
      </w:tr>
      <w:tr w:rsidR="00024D45" w:rsidRPr="00024D45" w14:paraId="50FE805C" w14:textId="77777777" w:rsidTr="001A4926">
        <w:trPr>
          <w:trHeight w:val="315"/>
        </w:trPr>
        <w:tc>
          <w:tcPr>
            <w:tcW w:w="3600" w:type="dxa"/>
            <w:vMerge/>
            <w:tcBorders>
              <w:top w:val="single" w:sz="4" w:space="0" w:color="auto"/>
              <w:left w:val="single" w:sz="4" w:space="0" w:color="auto"/>
              <w:bottom w:val="single" w:sz="4" w:space="0" w:color="auto"/>
              <w:right w:val="single" w:sz="4" w:space="0" w:color="auto"/>
            </w:tcBorders>
            <w:vAlign w:val="center"/>
            <w:hideMark/>
          </w:tcPr>
          <w:p w14:paraId="222C5A91" w14:textId="77777777" w:rsidR="00024D45" w:rsidRPr="00024D45" w:rsidRDefault="00024D45" w:rsidP="00024D45">
            <w:pPr>
              <w:spacing w:after="0" w:line="240" w:lineRule="auto"/>
              <w:rPr>
                <w:b/>
                <w:bCs/>
                <w:kern w:val="0"/>
                <w:sz w:val="22"/>
                <w:szCs w:val="22"/>
                <w14:ligatures w14:val="none"/>
                <w14:cntxtAlts w14:val="0"/>
              </w:rPr>
            </w:pPr>
          </w:p>
        </w:tc>
        <w:tc>
          <w:tcPr>
            <w:tcW w:w="3780" w:type="dxa"/>
            <w:tcBorders>
              <w:top w:val="single" w:sz="4" w:space="0" w:color="auto"/>
              <w:left w:val="single" w:sz="4" w:space="0" w:color="auto"/>
              <w:bottom w:val="single" w:sz="4" w:space="0" w:color="auto"/>
              <w:right w:val="single" w:sz="4" w:space="0" w:color="auto"/>
            </w:tcBorders>
            <w:noWrap/>
            <w:vAlign w:val="bottom"/>
            <w:hideMark/>
          </w:tcPr>
          <w:p w14:paraId="1A9B2879" w14:textId="77777777"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 xml:space="preserve">Hourly rate: over 4 hours </w:t>
            </w:r>
            <w:proofErr w:type="spellStart"/>
            <w:r w:rsidRPr="00024D45">
              <w:rPr>
                <w:kern w:val="0"/>
                <w:sz w:val="22"/>
                <w:szCs w:val="22"/>
                <w14:ligatures w14:val="none"/>
                <w14:cntxtAlts w14:val="0"/>
              </w:rPr>
              <w:t>hrly</w:t>
            </w:r>
            <w:proofErr w:type="spellEnd"/>
            <w:r w:rsidRPr="00024D45">
              <w:rPr>
                <w:kern w:val="0"/>
                <w:sz w:val="22"/>
                <w:szCs w:val="22"/>
                <w14:ligatures w14:val="none"/>
                <w14:cntxtAlts w14:val="0"/>
              </w:rPr>
              <w:t xml:space="preserve"> rate</w:t>
            </w:r>
          </w:p>
        </w:tc>
        <w:tc>
          <w:tcPr>
            <w:tcW w:w="1360" w:type="dxa"/>
            <w:tcBorders>
              <w:top w:val="single" w:sz="4" w:space="0" w:color="auto"/>
              <w:left w:val="single" w:sz="4" w:space="0" w:color="auto"/>
              <w:bottom w:val="single" w:sz="4" w:space="0" w:color="auto"/>
              <w:right w:val="single" w:sz="8" w:space="0" w:color="000000"/>
            </w:tcBorders>
            <w:noWrap/>
            <w:vAlign w:val="center"/>
            <w:hideMark/>
          </w:tcPr>
          <w:p w14:paraId="4D6C5B7C"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$220</w:t>
            </w:r>
          </w:p>
        </w:tc>
      </w:tr>
      <w:tr w:rsidR="00024D45" w:rsidRPr="00024D45" w14:paraId="755B2D32" w14:textId="77777777" w:rsidTr="001A4926">
        <w:trPr>
          <w:trHeight w:val="1515"/>
        </w:trPr>
        <w:tc>
          <w:tcPr>
            <w:tcW w:w="3600" w:type="dxa"/>
            <w:vMerge/>
            <w:tcBorders>
              <w:top w:val="single" w:sz="4" w:space="0" w:color="auto"/>
              <w:left w:val="single" w:sz="4" w:space="0" w:color="auto"/>
              <w:bottom w:val="single" w:sz="4" w:space="0" w:color="auto"/>
              <w:right w:val="single" w:sz="4" w:space="0" w:color="auto"/>
            </w:tcBorders>
            <w:vAlign w:val="center"/>
            <w:hideMark/>
          </w:tcPr>
          <w:p w14:paraId="4E8F1ADE" w14:textId="77777777" w:rsidR="00024D45" w:rsidRPr="00024D45" w:rsidRDefault="00024D45" w:rsidP="00024D45">
            <w:pPr>
              <w:spacing w:after="0" w:line="240" w:lineRule="auto"/>
              <w:rPr>
                <w:b/>
                <w:bCs/>
                <w:kern w:val="0"/>
                <w:sz w:val="22"/>
                <w:szCs w:val="22"/>
                <w14:ligatures w14:val="none"/>
                <w14:cntxtAlts w14:val="0"/>
              </w:rPr>
            </w:pPr>
          </w:p>
        </w:tc>
        <w:tc>
          <w:tcPr>
            <w:tcW w:w="3780" w:type="dxa"/>
            <w:tcBorders>
              <w:top w:val="single" w:sz="4" w:space="0" w:color="auto"/>
              <w:left w:val="single" w:sz="4" w:space="0" w:color="auto"/>
              <w:bottom w:val="single" w:sz="4" w:space="0" w:color="auto"/>
              <w:right w:val="single" w:sz="4" w:space="0" w:color="auto"/>
            </w:tcBorders>
            <w:vAlign w:val="bottom"/>
            <w:hideMark/>
          </w:tcPr>
          <w:p w14:paraId="6306A17F" w14:textId="168BBAB8" w:rsidR="00024D45" w:rsidRPr="00024D45" w:rsidRDefault="00550328" w:rsidP="00024D45">
            <w:pPr>
              <w:spacing w:after="0" w:line="240" w:lineRule="auto"/>
              <w:rPr>
                <w:kern w:val="0"/>
                <w:sz w:val="22"/>
                <w:szCs w:val="22"/>
                <w14:ligatures w14:val="none"/>
                <w14:cntxtAlts w14:val="0"/>
              </w:rPr>
            </w:pPr>
            <w:r>
              <w:rPr>
                <w:kern w:val="0"/>
                <w:sz w:val="22"/>
                <w:szCs w:val="22"/>
                <w14:ligatures w14:val="none"/>
                <w14:cntxtAlts w14:val="0"/>
              </w:rPr>
              <w:t>N</w:t>
            </w:r>
            <w:r w:rsidR="00024D45" w:rsidRPr="00024D45">
              <w:rPr>
                <w:kern w:val="0"/>
                <w:sz w:val="22"/>
                <w:szCs w:val="22"/>
                <w14:ligatures w14:val="none"/>
                <w14:cntxtAlts w14:val="0"/>
              </w:rPr>
              <w:t>ew or updated water system plans, satellite management agency plans, surface water treatment, groundwater treatment, and complete new water systems (up to 8 hours)</w:t>
            </w:r>
          </w:p>
        </w:tc>
        <w:tc>
          <w:tcPr>
            <w:tcW w:w="1360" w:type="dxa"/>
            <w:tcBorders>
              <w:top w:val="single" w:sz="4" w:space="0" w:color="auto"/>
              <w:left w:val="single" w:sz="4" w:space="0" w:color="auto"/>
              <w:bottom w:val="single" w:sz="4" w:space="0" w:color="auto"/>
              <w:right w:val="single" w:sz="8" w:space="0" w:color="000000"/>
            </w:tcBorders>
            <w:noWrap/>
            <w:vAlign w:val="center"/>
            <w:hideMark/>
          </w:tcPr>
          <w:p w14:paraId="106E5FBA"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$1,760</w:t>
            </w:r>
          </w:p>
        </w:tc>
      </w:tr>
      <w:tr w:rsidR="00024D45" w:rsidRPr="00024D45" w14:paraId="6B7A8167" w14:textId="77777777" w:rsidTr="001A4926">
        <w:trPr>
          <w:trHeight w:val="300"/>
        </w:trPr>
        <w:tc>
          <w:tcPr>
            <w:tcW w:w="3600" w:type="dxa"/>
            <w:vMerge/>
            <w:tcBorders>
              <w:top w:val="single" w:sz="4" w:space="0" w:color="auto"/>
              <w:left w:val="single" w:sz="4" w:space="0" w:color="auto"/>
              <w:bottom w:val="single" w:sz="4" w:space="0" w:color="auto"/>
              <w:right w:val="single" w:sz="4" w:space="0" w:color="auto"/>
            </w:tcBorders>
            <w:vAlign w:val="center"/>
            <w:hideMark/>
          </w:tcPr>
          <w:p w14:paraId="45E1D412" w14:textId="77777777" w:rsidR="00024D45" w:rsidRPr="00024D45" w:rsidRDefault="00024D45" w:rsidP="00024D45">
            <w:pPr>
              <w:spacing w:after="0" w:line="240" w:lineRule="auto"/>
              <w:rPr>
                <w:b/>
                <w:bCs/>
                <w:kern w:val="0"/>
                <w:sz w:val="22"/>
                <w:szCs w:val="22"/>
                <w14:ligatures w14:val="none"/>
                <w14:cntxtAlts w14:val="0"/>
              </w:rPr>
            </w:pPr>
          </w:p>
        </w:tc>
        <w:tc>
          <w:tcPr>
            <w:tcW w:w="3780" w:type="dxa"/>
            <w:tcBorders>
              <w:top w:val="single" w:sz="4" w:space="0" w:color="auto"/>
              <w:left w:val="single" w:sz="4" w:space="0" w:color="auto"/>
              <w:bottom w:val="nil"/>
              <w:right w:val="single" w:sz="4" w:space="0" w:color="auto"/>
            </w:tcBorders>
            <w:noWrap/>
            <w:vAlign w:val="bottom"/>
            <w:hideMark/>
          </w:tcPr>
          <w:p w14:paraId="03918897" w14:textId="77777777"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 xml:space="preserve">Hourly rate: over 8 hours </w:t>
            </w:r>
            <w:proofErr w:type="spellStart"/>
            <w:r w:rsidRPr="00024D45">
              <w:rPr>
                <w:kern w:val="0"/>
                <w:sz w:val="22"/>
                <w:szCs w:val="22"/>
                <w14:ligatures w14:val="none"/>
                <w14:cntxtAlts w14:val="0"/>
              </w:rPr>
              <w:t>hrly</w:t>
            </w:r>
            <w:proofErr w:type="spellEnd"/>
            <w:r w:rsidRPr="00024D45">
              <w:rPr>
                <w:kern w:val="0"/>
                <w:sz w:val="22"/>
                <w:szCs w:val="22"/>
                <w14:ligatures w14:val="none"/>
                <w14:cntxtAlts w14:val="0"/>
              </w:rPr>
              <w:t xml:space="preserve"> rate</w:t>
            </w:r>
          </w:p>
        </w:tc>
        <w:tc>
          <w:tcPr>
            <w:tcW w:w="1360" w:type="dxa"/>
            <w:tcBorders>
              <w:top w:val="single" w:sz="4" w:space="0" w:color="auto"/>
              <w:left w:val="single" w:sz="4" w:space="0" w:color="auto"/>
              <w:bottom w:val="nil"/>
              <w:right w:val="single" w:sz="8" w:space="0" w:color="000000"/>
            </w:tcBorders>
            <w:noWrap/>
            <w:vAlign w:val="center"/>
            <w:hideMark/>
          </w:tcPr>
          <w:p w14:paraId="0131B85D"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$220</w:t>
            </w:r>
          </w:p>
        </w:tc>
      </w:tr>
      <w:tr w:rsidR="00024D45" w:rsidRPr="00024D45" w14:paraId="6EAB94D0" w14:textId="77777777" w:rsidTr="001A4926">
        <w:trPr>
          <w:trHeight w:val="300"/>
        </w:trPr>
        <w:tc>
          <w:tcPr>
            <w:tcW w:w="3600" w:type="dxa"/>
            <w:vMerge w:val="restart"/>
            <w:tcBorders>
              <w:top w:val="single" w:sz="4" w:space="0" w:color="auto"/>
              <w:left w:val="single" w:sz="8" w:space="0" w:color="000000"/>
              <w:bottom w:val="nil"/>
              <w:right w:val="nil"/>
            </w:tcBorders>
            <w:vAlign w:val="center"/>
            <w:hideMark/>
          </w:tcPr>
          <w:p w14:paraId="55C34068" w14:textId="77777777" w:rsidR="00024D45" w:rsidRPr="00024D45" w:rsidRDefault="00024D45" w:rsidP="00024D45">
            <w:pPr>
              <w:spacing w:after="0" w:line="240" w:lineRule="auto"/>
              <w:jc w:val="center"/>
              <w:rPr>
                <w:b/>
                <w:bCs/>
                <w:kern w:val="0"/>
                <w:sz w:val="22"/>
                <w:szCs w:val="22"/>
                <w14:ligatures w14:val="none"/>
                <w14:cntxtAlts w14:val="0"/>
              </w:rPr>
            </w:pPr>
            <w:r w:rsidRPr="00024D45">
              <w:rPr>
                <w:b/>
                <w:bCs/>
                <w:kern w:val="0"/>
                <w:sz w:val="22"/>
                <w:szCs w:val="22"/>
                <w14:ligatures w14:val="none"/>
                <w14:cntxtAlts w14:val="0"/>
              </w:rPr>
              <w:t>Sanitary Survey Transient Noncommunity Systems</w:t>
            </w:r>
          </w:p>
        </w:tc>
        <w:tc>
          <w:tcPr>
            <w:tcW w:w="3780" w:type="dxa"/>
            <w:tcBorders>
              <w:top w:val="single" w:sz="8" w:space="0" w:color="000000"/>
              <w:left w:val="single" w:sz="8" w:space="0" w:color="000000"/>
              <w:bottom w:val="single" w:sz="4" w:space="0" w:color="auto"/>
              <w:right w:val="single" w:sz="4" w:space="0" w:color="auto"/>
            </w:tcBorders>
            <w:noWrap/>
            <w:vAlign w:val="bottom"/>
            <w:hideMark/>
          </w:tcPr>
          <w:p w14:paraId="3E8AC20E" w14:textId="77777777"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Survey up to 3 hours</w:t>
            </w:r>
          </w:p>
        </w:tc>
        <w:tc>
          <w:tcPr>
            <w:tcW w:w="1360" w:type="dxa"/>
            <w:tcBorders>
              <w:top w:val="single" w:sz="8" w:space="0" w:color="000000"/>
              <w:left w:val="single" w:sz="4" w:space="0" w:color="auto"/>
              <w:bottom w:val="single" w:sz="4" w:space="0" w:color="auto"/>
              <w:right w:val="single" w:sz="8" w:space="0" w:color="000000"/>
            </w:tcBorders>
            <w:noWrap/>
            <w:vAlign w:val="center"/>
            <w:hideMark/>
          </w:tcPr>
          <w:p w14:paraId="6C43589E"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$750</w:t>
            </w:r>
          </w:p>
        </w:tc>
      </w:tr>
      <w:tr w:rsidR="00024D45" w:rsidRPr="00024D45" w14:paraId="1F2DBEDD" w14:textId="77777777" w:rsidTr="00024D45">
        <w:trPr>
          <w:trHeight w:val="300"/>
        </w:trPr>
        <w:tc>
          <w:tcPr>
            <w:tcW w:w="3600" w:type="dxa"/>
            <w:vMerge/>
            <w:tcBorders>
              <w:top w:val="single" w:sz="8" w:space="0" w:color="000000"/>
              <w:left w:val="single" w:sz="8" w:space="0" w:color="000000"/>
              <w:bottom w:val="nil"/>
              <w:right w:val="nil"/>
            </w:tcBorders>
            <w:vAlign w:val="center"/>
            <w:hideMark/>
          </w:tcPr>
          <w:p w14:paraId="4778F3A9" w14:textId="77777777" w:rsidR="00024D45" w:rsidRPr="00024D45" w:rsidRDefault="00024D45" w:rsidP="00024D45">
            <w:pPr>
              <w:spacing w:after="0" w:line="240" w:lineRule="auto"/>
              <w:rPr>
                <w:b/>
                <w:bCs/>
                <w:kern w:val="0"/>
                <w:sz w:val="22"/>
                <w:szCs w:val="22"/>
                <w14:ligatures w14:val="none"/>
                <w14:cntxtAlts w14:val="0"/>
              </w:rPr>
            </w:pPr>
          </w:p>
        </w:tc>
        <w:tc>
          <w:tcPr>
            <w:tcW w:w="3780" w:type="dxa"/>
            <w:tcBorders>
              <w:top w:val="single" w:sz="4" w:space="0" w:color="auto"/>
              <w:left w:val="single" w:sz="8" w:space="0" w:color="000000"/>
              <w:bottom w:val="nil"/>
              <w:right w:val="single" w:sz="4" w:space="0" w:color="auto"/>
            </w:tcBorders>
            <w:noWrap/>
            <w:vAlign w:val="bottom"/>
            <w:hideMark/>
          </w:tcPr>
          <w:p w14:paraId="06287D3B" w14:textId="77777777"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Hourly rate: over 3 hours</w:t>
            </w:r>
          </w:p>
        </w:tc>
        <w:tc>
          <w:tcPr>
            <w:tcW w:w="1360" w:type="dxa"/>
            <w:tcBorders>
              <w:top w:val="single" w:sz="4" w:space="0" w:color="auto"/>
              <w:left w:val="single" w:sz="4" w:space="0" w:color="auto"/>
              <w:bottom w:val="nil"/>
              <w:right w:val="single" w:sz="8" w:space="0" w:color="000000"/>
            </w:tcBorders>
            <w:noWrap/>
            <w:vAlign w:val="center"/>
            <w:hideMark/>
          </w:tcPr>
          <w:p w14:paraId="5A58E3F3"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$250</w:t>
            </w:r>
          </w:p>
        </w:tc>
      </w:tr>
      <w:tr w:rsidR="00024D45" w:rsidRPr="00024D45" w14:paraId="091D34A5" w14:textId="77777777" w:rsidTr="00024D45">
        <w:trPr>
          <w:trHeight w:val="300"/>
        </w:trPr>
        <w:tc>
          <w:tcPr>
            <w:tcW w:w="3600" w:type="dxa"/>
            <w:vMerge w:val="restart"/>
            <w:tcBorders>
              <w:top w:val="single" w:sz="8" w:space="0" w:color="000000"/>
              <w:left w:val="single" w:sz="8" w:space="0" w:color="000000"/>
              <w:bottom w:val="single" w:sz="4" w:space="0" w:color="000000"/>
              <w:right w:val="single" w:sz="4" w:space="0" w:color="000000"/>
            </w:tcBorders>
            <w:vAlign w:val="center"/>
            <w:hideMark/>
          </w:tcPr>
          <w:p w14:paraId="38FFF91B" w14:textId="77777777" w:rsidR="00024D45" w:rsidRPr="00024D45" w:rsidRDefault="00024D45" w:rsidP="00024D45">
            <w:pPr>
              <w:spacing w:after="0" w:line="240" w:lineRule="auto"/>
              <w:jc w:val="center"/>
              <w:rPr>
                <w:b/>
                <w:bCs/>
                <w:kern w:val="0"/>
                <w:sz w:val="22"/>
                <w:szCs w:val="22"/>
                <w14:ligatures w14:val="none"/>
                <w14:cntxtAlts w14:val="0"/>
              </w:rPr>
            </w:pPr>
            <w:r w:rsidRPr="00024D45">
              <w:rPr>
                <w:b/>
                <w:bCs/>
                <w:kern w:val="0"/>
                <w:sz w:val="22"/>
                <w:szCs w:val="22"/>
                <w14:ligatures w14:val="none"/>
                <w14:cntxtAlts w14:val="0"/>
              </w:rPr>
              <w:t>Sanitary Survey Nontransient noncommunity and community systems</w:t>
            </w:r>
          </w:p>
        </w:tc>
        <w:tc>
          <w:tcPr>
            <w:tcW w:w="3780" w:type="dxa"/>
            <w:tcBorders>
              <w:top w:val="single" w:sz="8" w:space="0" w:color="000000"/>
              <w:left w:val="single" w:sz="4" w:space="0" w:color="000000"/>
              <w:bottom w:val="single" w:sz="4" w:space="0" w:color="000000"/>
              <w:right w:val="single" w:sz="4" w:space="0" w:color="000000"/>
            </w:tcBorders>
            <w:noWrap/>
            <w:vAlign w:val="bottom"/>
            <w:hideMark/>
          </w:tcPr>
          <w:p w14:paraId="4F044BF6" w14:textId="662029E9"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 xml:space="preserve">Survey &lt;499 </w:t>
            </w:r>
            <w:r w:rsidR="00291E91">
              <w:rPr>
                <w:kern w:val="0"/>
                <w:sz w:val="22"/>
                <w:szCs w:val="22"/>
                <w14:ligatures w14:val="none"/>
                <w14:cntxtAlts w14:val="0"/>
              </w:rPr>
              <w:t>connections</w:t>
            </w:r>
            <w:r w:rsidRPr="00024D45">
              <w:rPr>
                <w:kern w:val="0"/>
                <w:sz w:val="22"/>
                <w:szCs w:val="22"/>
                <w14:ligatures w14:val="none"/>
                <w14:cntxtAlts w14:val="0"/>
              </w:rPr>
              <w:t xml:space="preserve"> (up to 5 h</w:t>
            </w:r>
            <w:r w:rsidR="0039785F">
              <w:rPr>
                <w:kern w:val="0"/>
                <w:sz w:val="22"/>
                <w:szCs w:val="22"/>
                <w14:ligatures w14:val="none"/>
                <w14:cntxtAlts w14:val="0"/>
              </w:rPr>
              <w:t>ou</w:t>
            </w:r>
            <w:r w:rsidRPr="00024D45">
              <w:rPr>
                <w:kern w:val="0"/>
                <w:sz w:val="22"/>
                <w:szCs w:val="22"/>
                <w14:ligatures w14:val="none"/>
                <w14:cntxtAlts w14:val="0"/>
              </w:rPr>
              <w:t>rs)</w:t>
            </w:r>
          </w:p>
        </w:tc>
        <w:tc>
          <w:tcPr>
            <w:tcW w:w="1360" w:type="dxa"/>
            <w:tcBorders>
              <w:top w:val="single" w:sz="8" w:space="0" w:color="000000"/>
              <w:left w:val="single" w:sz="4" w:space="0" w:color="000000"/>
              <w:bottom w:val="single" w:sz="4" w:space="0" w:color="000000"/>
              <w:right w:val="single" w:sz="8" w:space="0" w:color="000000"/>
            </w:tcBorders>
            <w:noWrap/>
            <w:vAlign w:val="center"/>
            <w:hideMark/>
          </w:tcPr>
          <w:p w14:paraId="72E2FD52"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$1,250</w:t>
            </w:r>
          </w:p>
        </w:tc>
      </w:tr>
      <w:tr w:rsidR="00024D45" w:rsidRPr="00024D45" w14:paraId="148DF463" w14:textId="77777777" w:rsidTr="00024D45">
        <w:trPr>
          <w:trHeight w:val="300"/>
        </w:trPr>
        <w:tc>
          <w:tcPr>
            <w:tcW w:w="3600" w:type="dxa"/>
            <w:vMerge/>
            <w:tcBorders>
              <w:top w:val="single" w:sz="8" w:space="0" w:color="000000"/>
              <w:left w:val="single" w:sz="8" w:space="0" w:color="000000"/>
              <w:bottom w:val="single" w:sz="4" w:space="0" w:color="000000"/>
              <w:right w:val="single" w:sz="4" w:space="0" w:color="000000"/>
            </w:tcBorders>
            <w:vAlign w:val="center"/>
            <w:hideMark/>
          </w:tcPr>
          <w:p w14:paraId="4079492D" w14:textId="77777777" w:rsidR="00024D45" w:rsidRPr="00024D45" w:rsidRDefault="00024D45" w:rsidP="00024D45">
            <w:pPr>
              <w:spacing w:after="0" w:line="240" w:lineRule="auto"/>
              <w:rPr>
                <w:b/>
                <w:bCs/>
                <w:kern w:val="0"/>
                <w:sz w:val="22"/>
                <w:szCs w:val="22"/>
                <w14:ligatures w14:val="none"/>
                <w14:cntxtAlts w14:val="0"/>
              </w:rPr>
            </w:pPr>
          </w:p>
        </w:tc>
        <w:tc>
          <w:tcPr>
            <w:tcW w:w="3780" w:type="dxa"/>
            <w:tcBorders>
              <w:top w:val="single" w:sz="4" w:space="0" w:color="000000"/>
              <w:left w:val="single" w:sz="4" w:space="0" w:color="000000"/>
              <w:bottom w:val="single" w:sz="4" w:space="0" w:color="000000"/>
              <w:right w:val="single" w:sz="4" w:space="0" w:color="000000"/>
            </w:tcBorders>
            <w:noWrap/>
            <w:vAlign w:val="bottom"/>
            <w:hideMark/>
          </w:tcPr>
          <w:p w14:paraId="07F915C6" w14:textId="1C36DA20"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 xml:space="preserve">Survey 500-9999 </w:t>
            </w:r>
            <w:r w:rsidR="00291E91">
              <w:rPr>
                <w:kern w:val="0"/>
                <w:sz w:val="22"/>
                <w:szCs w:val="22"/>
                <w14:ligatures w14:val="none"/>
                <w14:cntxtAlts w14:val="0"/>
              </w:rPr>
              <w:t>connections</w:t>
            </w:r>
            <w:r w:rsidRPr="00024D45">
              <w:rPr>
                <w:kern w:val="0"/>
                <w:sz w:val="22"/>
                <w:szCs w:val="22"/>
                <w14:ligatures w14:val="none"/>
                <w14:cntxtAlts w14:val="0"/>
              </w:rPr>
              <w:t xml:space="preserve"> (up to 9 h</w:t>
            </w:r>
            <w:r w:rsidR="0039785F">
              <w:rPr>
                <w:kern w:val="0"/>
                <w:sz w:val="22"/>
                <w:szCs w:val="22"/>
                <w14:ligatures w14:val="none"/>
                <w14:cntxtAlts w14:val="0"/>
              </w:rPr>
              <w:t>our</w:t>
            </w:r>
            <w:r w:rsidRPr="00024D45">
              <w:rPr>
                <w:kern w:val="0"/>
                <w:sz w:val="22"/>
                <w:szCs w:val="22"/>
                <w14:ligatures w14:val="none"/>
                <w14:cntxtAlts w14:val="0"/>
              </w:rPr>
              <w:t>s)</w:t>
            </w:r>
          </w:p>
        </w:tc>
        <w:tc>
          <w:tcPr>
            <w:tcW w:w="1360" w:type="dxa"/>
            <w:tcBorders>
              <w:top w:val="single" w:sz="4" w:space="0" w:color="000000"/>
              <w:left w:val="single" w:sz="4" w:space="0" w:color="000000"/>
              <w:bottom w:val="single" w:sz="4" w:space="0" w:color="000000"/>
              <w:right w:val="single" w:sz="8" w:space="0" w:color="000000"/>
            </w:tcBorders>
            <w:noWrap/>
            <w:vAlign w:val="center"/>
            <w:hideMark/>
          </w:tcPr>
          <w:p w14:paraId="79C4F8E9"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$2,250</w:t>
            </w:r>
          </w:p>
        </w:tc>
      </w:tr>
      <w:tr w:rsidR="00024D45" w:rsidRPr="00024D45" w14:paraId="3260330C" w14:textId="77777777" w:rsidTr="00024D45">
        <w:trPr>
          <w:trHeight w:val="300"/>
        </w:trPr>
        <w:tc>
          <w:tcPr>
            <w:tcW w:w="3600" w:type="dxa"/>
            <w:vMerge/>
            <w:tcBorders>
              <w:top w:val="single" w:sz="8" w:space="0" w:color="000000"/>
              <w:left w:val="single" w:sz="8" w:space="0" w:color="000000"/>
              <w:bottom w:val="single" w:sz="4" w:space="0" w:color="000000"/>
              <w:right w:val="single" w:sz="4" w:space="0" w:color="000000"/>
            </w:tcBorders>
            <w:vAlign w:val="center"/>
            <w:hideMark/>
          </w:tcPr>
          <w:p w14:paraId="24E5499E" w14:textId="77777777" w:rsidR="00024D45" w:rsidRPr="00024D45" w:rsidRDefault="00024D45" w:rsidP="00024D45">
            <w:pPr>
              <w:spacing w:after="0" w:line="240" w:lineRule="auto"/>
              <w:rPr>
                <w:b/>
                <w:bCs/>
                <w:kern w:val="0"/>
                <w:sz w:val="22"/>
                <w:szCs w:val="22"/>
                <w14:ligatures w14:val="none"/>
                <w14:cntxtAlts w14:val="0"/>
              </w:rPr>
            </w:pPr>
          </w:p>
        </w:tc>
        <w:tc>
          <w:tcPr>
            <w:tcW w:w="3780" w:type="dxa"/>
            <w:tcBorders>
              <w:top w:val="single" w:sz="4" w:space="0" w:color="000000"/>
              <w:left w:val="single" w:sz="4" w:space="0" w:color="000000"/>
              <w:bottom w:val="single" w:sz="4" w:space="0" w:color="000000"/>
              <w:right w:val="single" w:sz="4" w:space="0" w:color="000000"/>
            </w:tcBorders>
            <w:noWrap/>
            <w:vAlign w:val="bottom"/>
            <w:hideMark/>
          </w:tcPr>
          <w:p w14:paraId="0B45E91A" w14:textId="09AA64F0"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Survey 10000</w:t>
            </w:r>
            <w:r w:rsidR="00291E91">
              <w:rPr>
                <w:kern w:val="0"/>
                <w:sz w:val="22"/>
                <w:szCs w:val="22"/>
                <w14:ligatures w14:val="none"/>
                <w14:cntxtAlts w14:val="0"/>
              </w:rPr>
              <w:t xml:space="preserve"> connections</w:t>
            </w:r>
            <w:r w:rsidR="00753782">
              <w:rPr>
                <w:kern w:val="0"/>
                <w:sz w:val="22"/>
                <w:szCs w:val="22"/>
                <w14:ligatures w14:val="none"/>
                <w14:cntxtAlts w14:val="0"/>
              </w:rPr>
              <w:t xml:space="preserve"> </w:t>
            </w:r>
            <w:r w:rsidRPr="00024D45">
              <w:rPr>
                <w:kern w:val="0"/>
                <w:sz w:val="22"/>
                <w:szCs w:val="22"/>
                <w14:ligatures w14:val="none"/>
                <w14:cntxtAlts w14:val="0"/>
              </w:rPr>
              <w:t xml:space="preserve">&lt; (up </w:t>
            </w:r>
            <w:r w:rsidR="00C505B6" w:rsidRPr="00024D45">
              <w:rPr>
                <w:kern w:val="0"/>
                <w:sz w:val="22"/>
                <w:szCs w:val="22"/>
                <w14:ligatures w14:val="none"/>
                <w14:cntxtAlts w14:val="0"/>
              </w:rPr>
              <w:t>to 17</w:t>
            </w:r>
            <w:r w:rsidRPr="00024D45">
              <w:rPr>
                <w:kern w:val="0"/>
                <w:sz w:val="22"/>
                <w:szCs w:val="22"/>
                <w14:ligatures w14:val="none"/>
                <w14:cntxtAlts w14:val="0"/>
              </w:rPr>
              <w:t xml:space="preserve"> h</w:t>
            </w:r>
            <w:r w:rsidR="0039785F">
              <w:rPr>
                <w:kern w:val="0"/>
                <w:sz w:val="22"/>
                <w:szCs w:val="22"/>
                <w14:ligatures w14:val="none"/>
                <w14:cntxtAlts w14:val="0"/>
              </w:rPr>
              <w:t>ou</w:t>
            </w:r>
            <w:r w:rsidRPr="00024D45">
              <w:rPr>
                <w:kern w:val="0"/>
                <w:sz w:val="22"/>
                <w:szCs w:val="22"/>
                <w14:ligatures w14:val="none"/>
                <w14:cntxtAlts w14:val="0"/>
              </w:rPr>
              <w:t>rs)</w:t>
            </w:r>
          </w:p>
        </w:tc>
        <w:tc>
          <w:tcPr>
            <w:tcW w:w="1360" w:type="dxa"/>
            <w:tcBorders>
              <w:top w:val="single" w:sz="4" w:space="0" w:color="000000"/>
              <w:left w:val="single" w:sz="4" w:space="0" w:color="000000"/>
              <w:bottom w:val="single" w:sz="4" w:space="0" w:color="000000"/>
              <w:right w:val="single" w:sz="8" w:space="0" w:color="000000"/>
            </w:tcBorders>
            <w:noWrap/>
            <w:vAlign w:val="center"/>
            <w:hideMark/>
          </w:tcPr>
          <w:p w14:paraId="140C2E7D"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$4,250</w:t>
            </w:r>
          </w:p>
        </w:tc>
      </w:tr>
      <w:tr w:rsidR="00024D45" w:rsidRPr="00024D45" w14:paraId="2A48C1C4" w14:textId="77777777" w:rsidTr="00024D45">
        <w:trPr>
          <w:trHeight w:val="300"/>
        </w:trPr>
        <w:tc>
          <w:tcPr>
            <w:tcW w:w="3600" w:type="dxa"/>
            <w:vMerge/>
            <w:tcBorders>
              <w:top w:val="single" w:sz="8" w:space="0" w:color="000000"/>
              <w:left w:val="single" w:sz="8" w:space="0" w:color="000000"/>
              <w:bottom w:val="single" w:sz="4" w:space="0" w:color="000000"/>
              <w:right w:val="single" w:sz="4" w:space="0" w:color="000000"/>
            </w:tcBorders>
            <w:vAlign w:val="center"/>
            <w:hideMark/>
          </w:tcPr>
          <w:p w14:paraId="2F9331B2" w14:textId="77777777" w:rsidR="00024D45" w:rsidRPr="00024D45" w:rsidRDefault="00024D45" w:rsidP="00024D45">
            <w:pPr>
              <w:spacing w:after="0" w:line="240" w:lineRule="auto"/>
              <w:rPr>
                <w:b/>
                <w:bCs/>
                <w:kern w:val="0"/>
                <w:sz w:val="22"/>
                <w:szCs w:val="22"/>
                <w14:ligatures w14:val="none"/>
                <w14:cntxtAlts w14:val="0"/>
              </w:rPr>
            </w:pPr>
          </w:p>
        </w:tc>
        <w:tc>
          <w:tcPr>
            <w:tcW w:w="3780" w:type="dxa"/>
            <w:tcBorders>
              <w:top w:val="single" w:sz="4" w:space="0" w:color="000000"/>
              <w:left w:val="single" w:sz="4" w:space="0" w:color="000000"/>
              <w:bottom w:val="single" w:sz="8" w:space="0" w:color="000000"/>
              <w:right w:val="single" w:sz="4" w:space="0" w:color="000000"/>
            </w:tcBorders>
            <w:noWrap/>
            <w:vAlign w:val="bottom"/>
            <w:hideMark/>
          </w:tcPr>
          <w:p w14:paraId="3CE64771" w14:textId="77777777"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Hourly rate: Over above hourly amounts</w:t>
            </w:r>
          </w:p>
        </w:tc>
        <w:tc>
          <w:tcPr>
            <w:tcW w:w="1360" w:type="dxa"/>
            <w:tcBorders>
              <w:top w:val="single" w:sz="4" w:space="0" w:color="000000"/>
              <w:left w:val="single" w:sz="4" w:space="0" w:color="000000"/>
              <w:bottom w:val="single" w:sz="8" w:space="0" w:color="000000"/>
              <w:right w:val="single" w:sz="8" w:space="0" w:color="000000"/>
            </w:tcBorders>
            <w:noWrap/>
            <w:vAlign w:val="center"/>
            <w:hideMark/>
          </w:tcPr>
          <w:p w14:paraId="694F825B"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$250</w:t>
            </w:r>
          </w:p>
        </w:tc>
      </w:tr>
      <w:tr w:rsidR="00024D45" w:rsidRPr="00024D45" w14:paraId="082226FB" w14:textId="77777777" w:rsidTr="00024D45">
        <w:trPr>
          <w:trHeight w:val="300"/>
        </w:trPr>
        <w:tc>
          <w:tcPr>
            <w:tcW w:w="3600" w:type="dxa"/>
            <w:vMerge w:val="restart"/>
            <w:tcBorders>
              <w:top w:val="nil"/>
              <w:left w:val="single" w:sz="8" w:space="0" w:color="000000"/>
              <w:bottom w:val="nil"/>
              <w:right w:val="single" w:sz="8" w:space="0" w:color="000000"/>
            </w:tcBorders>
            <w:noWrap/>
            <w:vAlign w:val="center"/>
            <w:hideMark/>
          </w:tcPr>
          <w:p w14:paraId="443E3479" w14:textId="77777777" w:rsidR="00024D45" w:rsidRPr="00024D45" w:rsidRDefault="00024D45" w:rsidP="00024D45">
            <w:pPr>
              <w:spacing w:after="0" w:line="240" w:lineRule="auto"/>
              <w:jc w:val="center"/>
              <w:rPr>
                <w:b/>
                <w:bCs/>
                <w:kern w:val="0"/>
                <w:sz w:val="22"/>
                <w:szCs w:val="22"/>
                <w14:ligatures w14:val="none"/>
                <w14:cntxtAlts w14:val="0"/>
              </w:rPr>
            </w:pPr>
            <w:r w:rsidRPr="00024D45">
              <w:rPr>
                <w:b/>
                <w:bCs/>
                <w:kern w:val="0"/>
                <w:sz w:val="22"/>
                <w:szCs w:val="22"/>
                <w14:ligatures w14:val="none"/>
                <w14:cntxtAlts w14:val="0"/>
              </w:rPr>
              <w:t>Other</w:t>
            </w:r>
          </w:p>
        </w:tc>
        <w:tc>
          <w:tcPr>
            <w:tcW w:w="3780" w:type="dxa"/>
            <w:tcBorders>
              <w:top w:val="nil"/>
              <w:left w:val="single" w:sz="8" w:space="0" w:color="000000"/>
              <w:bottom w:val="single" w:sz="4" w:space="0" w:color="auto"/>
              <w:right w:val="single" w:sz="4" w:space="0" w:color="auto"/>
            </w:tcBorders>
            <w:noWrap/>
            <w:vAlign w:val="bottom"/>
            <w:hideMark/>
          </w:tcPr>
          <w:p w14:paraId="216FEF9C" w14:textId="77777777"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Site Visit</w:t>
            </w:r>
          </w:p>
        </w:tc>
        <w:tc>
          <w:tcPr>
            <w:tcW w:w="1360" w:type="dxa"/>
            <w:tcBorders>
              <w:top w:val="nil"/>
              <w:left w:val="single" w:sz="4" w:space="0" w:color="auto"/>
              <w:bottom w:val="single" w:sz="4" w:space="0" w:color="auto"/>
              <w:right w:val="single" w:sz="8" w:space="0" w:color="000000"/>
            </w:tcBorders>
            <w:noWrap/>
            <w:vAlign w:val="center"/>
            <w:hideMark/>
          </w:tcPr>
          <w:p w14:paraId="5E47EB7E"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$500</w:t>
            </w:r>
          </w:p>
        </w:tc>
      </w:tr>
      <w:tr w:rsidR="00024D45" w:rsidRPr="00024D45" w14:paraId="1CAC03C3" w14:textId="77777777" w:rsidTr="00024D45">
        <w:trPr>
          <w:trHeight w:val="300"/>
        </w:trPr>
        <w:tc>
          <w:tcPr>
            <w:tcW w:w="3600" w:type="dxa"/>
            <w:vMerge/>
            <w:tcBorders>
              <w:top w:val="nil"/>
              <w:left w:val="single" w:sz="8" w:space="0" w:color="000000"/>
              <w:bottom w:val="single" w:sz="4" w:space="0" w:color="auto"/>
              <w:right w:val="single" w:sz="8" w:space="0" w:color="000000"/>
            </w:tcBorders>
            <w:vAlign w:val="center"/>
            <w:hideMark/>
          </w:tcPr>
          <w:p w14:paraId="213E155F" w14:textId="77777777" w:rsidR="00024D45" w:rsidRPr="00024D45" w:rsidRDefault="00024D45" w:rsidP="00024D45">
            <w:pPr>
              <w:spacing w:after="0" w:line="240" w:lineRule="auto"/>
              <w:rPr>
                <w:b/>
                <w:bCs/>
                <w:kern w:val="0"/>
                <w:sz w:val="22"/>
                <w:szCs w:val="22"/>
                <w14:ligatures w14:val="none"/>
                <w14:cntxtAlts w14:val="0"/>
              </w:rPr>
            </w:pPr>
          </w:p>
        </w:tc>
        <w:tc>
          <w:tcPr>
            <w:tcW w:w="3780" w:type="dxa"/>
            <w:tcBorders>
              <w:top w:val="single" w:sz="4" w:space="0" w:color="auto"/>
              <w:left w:val="single" w:sz="8" w:space="0" w:color="000000"/>
              <w:bottom w:val="single" w:sz="4" w:space="0" w:color="auto"/>
              <w:right w:val="single" w:sz="4" w:space="0" w:color="auto"/>
            </w:tcBorders>
            <w:noWrap/>
            <w:vAlign w:val="bottom"/>
            <w:hideMark/>
          </w:tcPr>
          <w:p w14:paraId="65C69B1A" w14:textId="77777777" w:rsidR="00024D45" w:rsidRPr="00024D45" w:rsidRDefault="00024D45" w:rsidP="00024D45">
            <w:pPr>
              <w:spacing w:after="0" w:line="240" w:lineRule="auto"/>
              <w:rPr>
                <w:kern w:val="0"/>
                <w:sz w:val="22"/>
                <w:szCs w:val="22"/>
                <w14:ligatures w14:val="none"/>
                <w14:cntxtAlts w14:val="0"/>
              </w:rPr>
            </w:pPr>
            <w:r w:rsidRPr="00024D45">
              <w:rPr>
                <w:kern w:val="0"/>
                <w:sz w:val="22"/>
                <w:szCs w:val="22"/>
                <w14:ligatures w14:val="none"/>
                <w14:cntxtAlts w14:val="0"/>
              </w:rPr>
              <w:t>Other services provided</w:t>
            </w:r>
          </w:p>
        </w:tc>
        <w:tc>
          <w:tcPr>
            <w:tcW w:w="1360" w:type="dxa"/>
            <w:tcBorders>
              <w:top w:val="single" w:sz="4" w:space="0" w:color="auto"/>
              <w:left w:val="single" w:sz="4" w:space="0" w:color="auto"/>
              <w:bottom w:val="single" w:sz="4" w:space="0" w:color="auto"/>
              <w:right w:val="single" w:sz="8" w:space="0" w:color="000000"/>
            </w:tcBorders>
            <w:noWrap/>
            <w:vAlign w:val="center"/>
            <w:hideMark/>
          </w:tcPr>
          <w:p w14:paraId="0F391A20" w14:textId="77777777" w:rsidR="00024D45" w:rsidRPr="00024D45" w:rsidRDefault="00024D45" w:rsidP="00024D45">
            <w:pPr>
              <w:spacing w:after="0" w:line="240" w:lineRule="auto"/>
              <w:jc w:val="right"/>
              <w:rPr>
                <w:kern w:val="0"/>
                <w:sz w:val="22"/>
                <w:szCs w:val="22"/>
                <w14:ligatures w14:val="none"/>
                <w14:cntxtAlts w14:val="0"/>
              </w:rPr>
            </w:pPr>
            <w:r w:rsidRPr="00024D45">
              <w:rPr>
                <w:kern w:val="0"/>
                <w:sz w:val="22"/>
                <w:szCs w:val="22"/>
                <w14:ligatures w14:val="none"/>
                <w14:cntxtAlts w14:val="0"/>
              </w:rPr>
              <w:t>$220</w:t>
            </w:r>
          </w:p>
        </w:tc>
      </w:tr>
    </w:tbl>
    <w:p w14:paraId="61448A83" w14:textId="25C52F78" w:rsidR="002C44CD" w:rsidRDefault="002C44CD" w:rsidP="002C44CD">
      <w:pPr>
        <w:rPr>
          <w:sz w:val="22"/>
          <w:szCs w:val="22"/>
        </w:rPr>
      </w:pPr>
    </w:p>
    <w:p w14:paraId="4E5378E6" w14:textId="40AFFA22" w:rsidR="00FC150F" w:rsidRDefault="00FC150F" w:rsidP="00FC150F">
      <w:pPr>
        <w:mirrorIndents/>
        <w:rPr>
          <w:sz w:val="22"/>
          <w:szCs w:val="22"/>
        </w:rPr>
      </w:pPr>
      <w:r w:rsidRPr="7ECDAC8B">
        <w:rPr>
          <w:sz w:val="22"/>
          <w:szCs w:val="22"/>
        </w:rPr>
        <w:t>This proposal allows the Department to cover</w:t>
      </w:r>
      <w:r w:rsidR="00D44323">
        <w:rPr>
          <w:sz w:val="22"/>
          <w:szCs w:val="22"/>
        </w:rPr>
        <w:t xml:space="preserve"> </w:t>
      </w:r>
      <w:r w:rsidR="007F0C32">
        <w:rPr>
          <w:sz w:val="22"/>
          <w:szCs w:val="22"/>
        </w:rPr>
        <w:t>an increased amount</w:t>
      </w:r>
      <w:r w:rsidRPr="7ECDAC8B">
        <w:rPr>
          <w:sz w:val="22"/>
          <w:szCs w:val="22"/>
        </w:rPr>
        <w:t xml:space="preserve"> </w:t>
      </w:r>
      <w:r w:rsidR="00C57CFC">
        <w:rPr>
          <w:sz w:val="22"/>
          <w:szCs w:val="22"/>
        </w:rPr>
        <w:t xml:space="preserve">of </w:t>
      </w:r>
      <w:r w:rsidRPr="7ECDAC8B">
        <w:rPr>
          <w:sz w:val="22"/>
          <w:szCs w:val="22"/>
        </w:rPr>
        <w:t xml:space="preserve">the </w:t>
      </w:r>
      <w:r w:rsidR="007E747D">
        <w:rPr>
          <w:sz w:val="22"/>
          <w:szCs w:val="22"/>
        </w:rPr>
        <w:t>D</w:t>
      </w:r>
      <w:r w:rsidR="009B0EB6">
        <w:rPr>
          <w:sz w:val="22"/>
          <w:szCs w:val="22"/>
        </w:rPr>
        <w:t xml:space="preserve">epartment’s </w:t>
      </w:r>
      <w:r w:rsidR="007E747D">
        <w:rPr>
          <w:sz w:val="22"/>
          <w:szCs w:val="22"/>
        </w:rPr>
        <w:t>S</w:t>
      </w:r>
      <w:r w:rsidR="006F25FF">
        <w:rPr>
          <w:sz w:val="22"/>
          <w:szCs w:val="22"/>
        </w:rPr>
        <w:t xml:space="preserve">ubmittal </w:t>
      </w:r>
      <w:r w:rsidR="007E747D">
        <w:rPr>
          <w:sz w:val="22"/>
          <w:szCs w:val="22"/>
        </w:rPr>
        <w:t>R</w:t>
      </w:r>
      <w:r w:rsidR="009B0EB6">
        <w:rPr>
          <w:sz w:val="22"/>
          <w:szCs w:val="22"/>
        </w:rPr>
        <w:t xml:space="preserve">eview and </w:t>
      </w:r>
      <w:r w:rsidR="007E747D">
        <w:rPr>
          <w:sz w:val="22"/>
          <w:szCs w:val="22"/>
        </w:rPr>
        <w:t>S</w:t>
      </w:r>
      <w:r w:rsidR="006F25FF">
        <w:rPr>
          <w:sz w:val="22"/>
          <w:szCs w:val="22"/>
        </w:rPr>
        <w:t xml:space="preserve">anitary </w:t>
      </w:r>
      <w:r w:rsidR="007E747D">
        <w:rPr>
          <w:sz w:val="22"/>
          <w:szCs w:val="22"/>
        </w:rPr>
        <w:t>S</w:t>
      </w:r>
      <w:r w:rsidR="006F25FF">
        <w:rPr>
          <w:sz w:val="22"/>
          <w:szCs w:val="22"/>
        </w:rPr>
        <w:t xml:space="preserve">urvey </w:t>
      </w:r>
      <w:r w:rsidRPr="7ECDAC8B">
        <w:rPr>
          <w:sz w:val="22"/>
          <w:szCs w:val="22"/>
        </w:rPr>
        <w:t xml:space="preserve">program expenditures </w:t>
      </w:r>
      <w:r w:rsidR="00C57CFC">
        <w:rPr>
          <w:sz w:val="22"/>
          <w:szCs w:val="22"/>
        </w:rPr>
        <w:t>but will require continued subsidy</w:t>
      </w:r>
      <w:r w:rsidR="007F0C32">
        <w:rPr>
          <w:sz w:val="22"/>
          <w:szCs w:val="22"/>
        </w:rPr>
        <w:t xml:space="preserve"> </w:t>
      </w:r>
      <w:r w:rsidR="23B4AA77" w:rsidRPr="177675B9">
        <w:rPr>
          <w:sz w:val="22"/>
          <w:szCs w:val="22"/>
        </w:rPr>
        <w:t>for</w:t>
      </w:r>
      <w:r w:rsidR="007F0C32" w:rsidRPr="177675B9">
        <w:rPr>
          <w:sz w:val="22"/>
          <w:szCs w:val="22"/>
        </w:rPr>
        <w:t xml:space="preserve"> </w:t>
      </w:r>
      <w:r w:rsidR="00396928">
        <w:rPr>
          <w:sz w:val="22"/>
          <w:szCs w:val="22"/>
        </w:rPr>
        <w:t xml:space="preserve">technical assistance </w:t>
      </w:r>
      <w:r w:rsidR="007F0C32">
        <w:rPr>
          <w:sz w:val="22"/>
          <w:szCs w:val="22"/>
        </w:rPr>
        <w:t>from</w:t>
      </w:r>
      <w:r w:rsidR="007F0C32" w:rsidDel="00CA3C90">
        <w:rPr>
          <w:sz w:val="22"/>
          <w:szCs w:val="22"/>
        </w:rPr>
        <w:t xml:space="preserve"> </w:t>
      </w:r>
      <w:r w:rsidR="00CA3C90">
        <w:rPr>
          <w:sz w:val="22"/>
          <w:szCs w:val="22"/>
        </w:rPr>
        <w:t>federal</w:t>
      </w:r>
      <w:r w:rsidR="004A711D">
        <w:rPr>
          <w:sz w:val="22"/>
          <w:szCs w:val="22"/>
        </w:rPr>
        <w:t xml:space="preserve"> </w:t>
      </w:r>
      <w:r w:rsidR="00342DE7">
        <w:rPr>
          <w:sz w:val="22"/>
          <w:szCs w:val="22"/>
        </w:rPr>
        <w:t xml:space="preserve">funding </w:t>
      </w:r>
      <w:r w:rsidR="004A711D">
        <w:rPr>
          <w:sz w:val="22"/>
          <w:szCs w:val="22"/>
        </w:rPr>
        <w:t>sources</w:t>
      </w:r>
      <w:r>
        <w:rPr>
          <w:sz w:val="22"/>
          <w:szCs w:val="22"/>
        </w:rPr>
        <w:t>.</w:t>
      </w:r>
      <w:r w:rsidRPr="7ECDAC8B">
        <w:rPr>
          <w:sz w:val="22"/>
          <w:szCs w:val="22"/>
        </w:rPr>
        <w:t xml:space="preserve"> </w:t>
      </w:r>
      <w:r w:rsidR="005307D4">
        <w:rPr>
          <w:sz w:val="22"/>
          <w:szCs w:val="22"/>
        </w:rPr>
        <w:t xml:space="preserve">This proposal restructures </w:t>
      </w:r>
      <w:r w:rsidR="00886BAF">
        <w:rPr>
          <w:sz w:val="22"/>
          <w:szCs w:val="22"/>
        </w:rPr>
        <w:t xml:space="preserve">and simplifies </w:t>
      </w:r>
      <w:r w:rsidR="005307D4">
        <w:rPr>
          <w:sz w:val="22"/>
          <w:szCs w:val="22"/>
        </w:rPr>
        <w:t xml:space="preserve">the </w:t>
      </w:r>
      <w:r w:rsidR="005307D4" w:rsidRPr="00B92A40">
        <w:rPr>
          <w:sz w:val="22"/>
          <w:szCs w:val="22"/>
        </w:rPr>
        <w:t xml:space="preserve">Water System Evaluation and Project Review and Approval </w:t>
      </w:r>
      <w:r w:rsidR="005307D4" w:rsidRPr="7ECDAC8B">
        <w:rPr>
          <w:sz w:val="22"/>
          <w:szCs w:val="22"/>
        </w:rPr>
        <w:t>program</w:t>
      </w:r>
      <w:r w:rsidR="005307D4">
        <w:rPr>
          <w:sz w:val="22"/>
          <w:szCs w:val="22"/>
        </w:rPr>
        <w:t xml:space="preserve"> fees to bring </w:t>
      </w:r>
      <w:r w:rsidR="00886BAF">
        <w:rPr>
          <w:sz w:val="22"/>
          <w:szCs w:val="22"/>
        </w:rPr>
        <w:t xml:space="preserve">greater clarity and transparency to all parties. </w:t>
      </w:r>
    </w:p>
    <w:p w14:paraId="3C1B80F8" w14:textId="28F50693" w:rsidR="00C57CFC" w:rsidRDefault="00FC150F" w:rsidP="00C57CFC">
      <w:pPr>
        <w:mirrorIndents/>
        <w:rPr>
          <w:sz w:val="22"/>
          <w:szCs w:val="22"/>
        </w:rPr>
      </w:pPr>
      <w:r w:rsidRPr="7ECDAC8B">
        <w:rPr>
          <w:sz w:val="22"/>
          <w:szCs w:val="22"/>
        </w:rPr>
        <w:lastRenderedPageBreak/>
        <w:t>The chart below shows actual and projected revenue and expenditures for current and proposed fees from FY 2019 through FY 2031.</w:t>
      </w:r>
      <w:r>
        <w:rPr>
          <w:sz w:val="22"/>
          <w:szCs w:val="22"/>
        </w:rPr>
        <w:t xml:space="preserve"> </w:t>
      </w:r>
      <w:r w:rsidR="0040049F">
        <w:rPr>
          <w:noProof/>
        </w:rPr>
        <w:drawing>
          <wp:inline distT="0" distB="0" distL="0" distR="0" wp14:anchorId="5B0A04AD" wp14:editId="2A01459F">
            <wp:extent cx="5795158" cy="2379431"/>
            <wp:effectExtent l="0" t="0" r="0" b="1905"/>
            <wp:docPr id="591717424" name="Picture 1" descr="Chart, waterfall 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9">
                      <a:extLst>
                        <a:ext uri="{28A0092B-C50C-407E-A947-70E740481C1C}">
                          <a14:useLocalDpi xmlns:a14="http://schemas.microsoft.com/office/drawing/2010/main" val="0"/>
                        </a:ext>
                      </a:extLst>
                    </a:blip>
                    <a:stretch>
                      <a:fillRect/>
                    </a:stretch>
                  </pic:blipFill>
                  <pic:spPr>
                    <a:xfrm>
                      <a:off x="0" y="0"/>
                      <a:ext cx="5795158" cy="2379431"/>
                    </a:xfrm>
                    <a:prstGeom prst="rect">
                      <a:avLst/>
                    </a:prstGeom>
                  </pic:spPr>
                </pic:pic>
              </a:graphicData>
            </a:graphic>
          </wp:inline>
        </w:drawing>
      </w:r>
    </w:p>
    <w:p w14:paraId="6345B19E" w14:textId="7A6C0D8E" w:rsidR="004461D4" w:rsidRDefault="00C57CFC" w:rsidP="008106C8">
      <w:pPr>
        <w:mirrorIndents/>
        <w:rPr>
          <w:sz w:val="22"/>
          <w:szCs w:val="22"/>
        </w:rPr>
      </w:pPr>
      <w:r>
        <w:rPr>
          <w:sz w:val="22"/>
          <w:szCs w:val="22"/>
        </w:rPr>
        <w:t xml:space="preserve">The </w:t>
      </w:r>
      <w:r w:rsidR="004461D4" w:rsidRPr="09C9F506">
        <w:rPr>
          <w:sz w:val="22"/>
          <w:szCs w:val="22"/>
        </w:rPr>
        <w:t>D</w:t>
      </w:r>
      <w:r w:rsidRPr="09C9F506">
        <w:rPr>
          <w:sz w:val="22"/>
          <w:szCs w:val="22"/>
        </w:rPr>
        <w:t>epartment</w:t>
      </w:r>
      <w:r>
        <w:rPr>
          <w:sz w:val="22"/>
          <w:szCs w:val="22"/>
        </w:rPr>
        <w:t xml:space="preserve"> will continue to monitor the financial health of the</w:t>
      </w:r>
      <w:r w:rsidRPr="00C57CFC">
        <w:rPr>
          <w:sz w:val="22"/>
          <w:szCs w:val="22"/>
        </w:rPr>
        <w:t xml:space="preserve"> </w:t>
      </w:r>
      <w:r>
        <w:rPr>
          <w:sz w:val="22"/>
          <w:szCs w:val="22"/>
        </w:rPr>
        <w:t>program over a six-year outlook and propose fee adjustments as needed to comply with statutory requirements.</w:t>
      </w:r>
    </w:p>
    <w:p w14:paraId="0026E97B" w14:textId="77777777" w:rsidR="004461D4" w:rsidRDefault="004461D4">
      <w:pPr>
        <w:spacing w:after="160" w:line="259" w:lineRule="auto"/>
        <w:rPr>
          <w:sz w:val="22"/>
          <w:szCs w:val="22"/>
        </w:rPr>
      </w:pPr>
      <w:r>
        <w:rPr>
          <w:sz w:val="22"/>
          <w:szCs w:val="22"/>
        </w:rPr>
        <w:br w:type="page"/>
      </w:r>
    </w:p>
    <w:p w14:paraId="600269D9" w14:textId="14AD490B" w:rsidR="00092C86" w:rsidRDefault="1BF142A9" w:rsidP="00B60AAD">
      <w:pPr>
        <w:pStyle w:val="Heading1"/>
        <w:spacing w:before="0"/>
      </w:pPr>
      <w:bookmarkStart w:id="2" w:name="_Toc203026351"/>
      <w:r>
        <w:lastRenderedPageBreak/>
        <w:t>WAC 246-2</w:t>
      </w:r>
      <w:r w:rsidR="76CA5C4E">
        <w:t>92</w:t>
      </w:r>
      <w:r>
        <w:t>-99</w:t>
      </w:r>
      <w:r w:rsidR="0A55D25C">
        <w:t>5</w:t>
      </w:r>
      <w:r>
        <w:t xml:space="preserve">, </w:t>
      </w:r>
      <w:r w:rsidR="5BC9F205">
        <w:t>Certified Operator and Public Water System Certification</w:t>
      </w:r>
      <w:r>
        <w:t xml:space="preserve"> Fees</w:t>
      </w:r>
      <w:bookmarkEnd w:id="2"/>
    </w:p>
    <w:p w14:paraId="245C6691" w14:textId="77777777" w:rsidR="00B60AAD" w:rsidRPr="00B60AAD" w:rsidRDefault="00B60AAD" w:rsidP="09C9F506">
      <w:pPr>
        <w:pStyle w:val="NoSpacing"/>
      </w:pPr>
    </w:p>
    <w:p w14:paraId="57A3A683" w14:textId="77777777" w:rsidR="00092C86" w:rsidRPr="008B1629" w:rsidRDefault="00092C86" w:rsidP="008B1629">
      <w:pPr>
        <w:spacing w:after="0"/>
        <w:rPr>
          <w:b/>
          <w:bCs/>
          <w:sz w:val="24"/>
          <w:szCs w:val="24"/>
        </w:rPr>
      </w:pPr>
      <w:r w:rsidRPr="008B1629">
        <w:rPr>
          <w:b/>
          <w:bCs/>
          <w:sz w:val="24"/>
          <w:szCs w:val="24"/>
        </w:rPr>
        <w:t>Overview</w:t>
      </w:r>
    </w:p>
    <w:p w14:paraId="57533039" w14:textId="1DA25719" w:rsidR="004461D4" w:rsidRDefault="004461D4" w:rsidP="004461D4">
      <w:pPr>
        <w:spacing w:after="0"/>
        <w:mirrorIndents/>
        <w:rPr>
          <w:sz w:val="22"/>
          <w:szCs w:val="22"/>
        </w:rPr>
      </w:pPr>
      <w:r w:rsidRPr="4AB1A116">
        <w:rPr>
          <w:sz w:val="22"/>
          <w:szCs w:val="22"/>
        </w:rPr>
        <w:t>The Department of Health</w:t>
      </w:r>
      <w:r>
        <w:rPr>
          <w:sz w:val="22"/>
          <w:szCs w:val="22"/>
        </w:rPr>
        <w:t xml:space="preserve"> (Department)</w:t>
      </w:r>
      <w:r w:rsidRPr="4AB1A116">
        <w:rPr>
          <w:sz w:val="22"/>
          <w:szCs w:val="22"/>
        </w:rPr>
        <w:t xml:space="preserve">, </w:t>
      </w:r>
      <w:r>
        <w:rPr>
          <w:sz w:val="22"/>
          <w:szCs w:val="22"/>
        </w:rPr>
        <w:t xml:space="preserve">Office of Drinking Water </w:t>
      </w:r>
      <w:r w:rsidRPr="00285FCC">
        <w:rPr>
          <w:sz w:val="22"/>
          <w:szCs w:val="22"/>
        </w:rPr>
        <w:t>protect</w:t>
      </w:r>
      <w:r>
        <w:rPr>
          <w:sz w:val="22"/>
          <w:szCs w:val="22"/>
        </w:rPr>
        <w:t>s</w:t>
      </w:r>
      <w:r w:rsidRPr="00285FCC">
        <w:rPr>
          <w:sz w:val="22"/>
          <w:szCs w:val="22"/>
        </w:rPr>
        <w:t xml:space="preserve"> the health of the people of Washington by </w:t>
      </w:r>
      <w:r w:rsidR="0044538D" w:rsidRPr="72C96E24">
        <w:rPr>
          <w:sz w:val="22"/>
          <w:szCs w:val="22"/>
        </w:rPr>
        <w:t>working with others to</w:t>
      </w:r>
      <w:r w:rsidRPr="72C96E24">
        <w:rPr>
          <w:sz w:val="22"/>
          <w:szCs w:val="22"/>
        </w:rPr>
        <w:t xml:space="preserve"> ensur</w:t>
      </w:r>
      <w:r w:rsidR="0044538D" w:rsidRPr="72C96E24">
        <w:rPr>
          <w:sz w:val="22"/>
          <w:szCs w:val="22"/>
        </w:rPr>
        <w:t>e</w:t>
      </w:r>
      <w:r w:rsidRPr="00285FCC">
        <w:rPr>
          <w:sz w:val="22"/>
          <w:szCs w:val="22"/>
        </w:rPr>
        <w:t xml:space="preserve"> safe and reliable drinking water.</w:t>
      </w:r>
      <w:r>
        <w:rPr>
          <w:sz w:val="22"/>
          <w:szCs w:val="22"/>
        </w:rPr>
        <w:t xml:space="preserve"> The Office of Drinking Water</w:t>
      </w:r>
      <w:r w:rsidRPr="00446102">
        <w:rPr>
          <w:sz w:val="22"/>
          <w:szCs w:val="22"/>
        </w:rPr>
        <w:t xml:space="preserve"> </w:t>
      </w:r>
      <w:r>
        <w:rPr>
          <w:sz w:val="22"/>
          <w:szCs w:val="22"/>
        </w:rPr>
        <w:t>conducts water system inspections, oversees</w:t>
      </w:r>
      <w:r w:rsidRPr="00C50C57">
        <w:rPr>
          <w:sz w:val="22"/>
          <w:szCs w:val="22"/>
        </w:rPr>
        <w:t xml:space="preserve"> the testing and evaluation of the water quality of public water systems</w:t>
      </w:r>
      <w:r>
        <w:rPr>
          <w:sz w:val="22"/>
          <w:szCs w:val="22"/>
        </w:rPr>
        <w:t xml:space="preserve">, </w:t>
      </w:r>
      <w:r w:rsidRPr="00446102">
        <w:rPr>
          <w:sz w:val="22"/>
          <w:szCs w:val="22"/>
        </w:rPr>
        <w:t>review</w:t>
      </w:r>
      <w:r>
        <w:rPr>
          <w:sz w:val="22"/>
          <w:szCs w:val="22"/>
        </w:rPr>
        <w:t>s</w:t>
      </w:r>
      <w:r w:rsidRPr="00446102">
        <w:rPr>
          <w:sz w:val="22"/>
          <w:szCs w:val="22"/>
        </w:rPr>
        <w:t xml:space="preserve"> </w:t>
      </w:r>
      <w:r>
        <w:rPr>
          <w:sz w:val="22"/>
          <w:szCs w:val="22"/>
        </w:rPr>
        <w:t>construction plans</w:t>
      </w:r>
      <w:r w:rsidRPr="00446102">
        <w:rPr>
          <w:sz w:val="22"/>
          <w:szCs w:val="22"/>
        </w:rPr>
        <w:t>, provid</w:t>
      </w:r>
      <w:r>
        <w:rPr>
          <w:sz w:val="22"/>
          <w:szCs w:val="22"/>
        </w:rPr>
        <w:t>es</w:t>
      </w:r>
      <w:r w:rsidRPr="00446102">
        <w:rPr>
          <w:sz w:val="22"/>
          <w:szCs w:val="22"/>
        </w:rPr>
        <w:t xml:space="preserve"> training </w:t>
      </w:r>
      <w:r>
        <w:rPr>
          <w:sz w:val="22"/>
          <w:szCs w:val="22"/>
        </w:rPr>
        <w:t>and technical assistance,</w:t>
      </w:r>
      <w:r w:rsidRPr="00446102">
        <w:rPr>
          <w:sz w:val="22"/>
          <w:szCs w:val="22"/>
        </w:rPr>
        <w:t xml:space="preserve"> assist</w:t>
      </w:r>
      <w:r>
        <w:rPr>
          <w:sz w:val="22"/>
          <w:szCs w:val="22"/>
        </w:rPr>
        <w:t>s</w:t>
      </w:r>
      <w:r w:rsidRPr="00446102">
        <w:rPr>
          <w:sz w:val="22"/>
          <w:szCs w:val="22"/>
        </w:rPr>
        <w:t xml:space="preserve"> </w:t>
      </w:r>
      <w:r>
        <w:rPr>
          <w:sz w:val="22"/>
          <w:szCs w:val="22"/>
        </w:rPr>
        <w:t>water systems and local municipalities</w:t>
      </w:r>
      <w:r w:rsidRPr="00446102">
        <w:rPr>
          <w:sz w:val="22"/>
          <w:szCs w:val="22"/>
        </w:rPr>
        <w:t xml:space="preserve">, </w:t>
      </w:r>
      <w:r>
        <w:rPr>
          <w:sz w:val="22"/>
          <w:szCs w:val="22"/>
        </w:rPr>
        <w:t xml:space="preserve">responds to emergencies, </w:t>
      </w:r>
      <w:r w:rsidRPr="00446102">
        <w:rPr>
          <w:sz w:val="22"/>
          <w:szCs w:val="22"/>
        </w:rPr>
        <w:t>and develop</w:t>
      </w:r>
      <w:r>
        <w:rPr>
          <w:sz w:val="22"/>
          <w:szCs w:val="22"/>
        </w:rPr>
        <w:t xml:space="preserve">s </w:t>
      </w:r>
      <w:r w:rsidRPr="00446102">
        <w:rPr>
          <w:sz w:val="22"/>
          <w:szCs w:val="22"/>
        </w:rPr>
        <w:t xml:space="preserve">guidance materials and educational resources. </w:t>
      </w:r>
      <w:hyperlink r:id="rId20">
        <w:r w:rsidRPr="72C96E24">
          <w:rPr>
            <w:rStyle w:val="Hyperlink"/>
            <w:sz w:val="22"/>
            <w:szCs w:val="22"/>
          </w:rPr>
          <w:t>Chapter 70A.125 RCW</w:t>
        </w:r>
      </w:hyperlink>
      <w:r>
        <w:rPr>
          <w:sz w:val="22"/>
          <w:szCs w:val="22"/>
        </w:rPr>
        <w:t xml:space="preserve"> mandates</w:t>
      </w:r>
      <w:r w:rsidRPr="00446102">
        <w:rPr>
          <w:sz w:val="22"/>
          <w:szCs w:val="22"/>
        </w:rPr>
        <w:t xml:space="preserve"> the </w:t>
      </w:r>
      <w:r>
        <w:rPr>
          <w:sz w:val="22"/>
          <w:szCs w:val="22"/>
        </w:rPr>
        <w:t xml:space="preserve">Department </w:t>
      </w:r>
      <w:r w:rsidRPr="00446102">
        <w:rPr>
          <w:sz w:val="22"/>
          <w:szCs w:val="22"/>
        </w:rPr>
        <w:t xml:space="preserve">to </w:t>
      </w:r>
      <w:r>
        <w:rPr>
          <w:sz w:val="22"/>
          <w:szCs w:val="22"/>
        </w:rPr>
        <w:t>administer the state’s drinking water program. The Office of Drinking Water</w:t>
      </w:r>
      <w:r w:rsidRPr="00F630F2">
        <w:rPr>
          <w:sz w:val="22"/>
          <w:szCs w:val="22"/>
        </w:rPr>
        <w:t xml:space="preserve"> regulate</w:t>
      </w:r>
      <w:r>
        <w:rPr>
          <w:sz w:val="22"/>
          <w:szCs w:val="22"/>
        </w:rPr>
        <w:t>s</w:t>
      </w:r>
      <w:r w:rsidRPr="00F630F2">
        <w:rPr>
          <w:sz w:val="22"/>
          <w:szCs w:val="22"/>
        </w:rPr>
        <w:t xml:space="preserve"> Group A public water systems under state law and </w:t>
      </w:r>
      <w:r>
        <w:rPr>
          <w:sz w:val="22"/>
          <w:szCs w:val="22"/>
        </w:rPr>
        <w:t xml:space="preserve">has </w:t>
      </w:r>
      <w:r w:rsidRPr="00F630F2">
        <w:rPr>
          <w:sz w:val="22"/>
          <w:szCs w:val="22"/>
        </w:rPr>
        <w:t>a formal agreement with the U.S. Environmental Protection Agency (EPA) for carrying out the federal Safe Drinking Water Act, which establishes minimum standards for drinking water quality.</w:t>
      </w:r>
      <w:r>
        <w:rPr>
          <w:sz w:val="22"/>
          <w:szCs w:val="22"/>
        </w:rPr>
        <w:t xml:space="preserve"> </w:t>
      </w:r>
      <w:hyperlink r:id="rId21">
        <w:r w:rsidRPr="72C96E24">
          <w:rPr>
            <w:rStyle w:val="Hyperlink"/>
            <w:sz w:val="22"/>
            <w:szCs w:val="22"/>
          </w:rPr>
          <w:t>Chapter 70A.120 RCW</w:t>
        </w:r>
      </w:hyperlink>
      <w:r>
        <w:rPr>
          <w:sz w:val="22"/>
          <w:szCs w:val="22"/>
        </w:rPr>
        <w:t xml:space="preserve"> requires the Department to </w:t>
      </w:r>
      <w:r w:rsidRPr="00B92E6F">
        <w:rPr>
          <w:sz w:val="22"/>
          <w:szCs w:val="22"/>
        </w:rPr>
        <w:t>certif</w:t>
      </w:r>
      <w:r>
        <w:rPr>
          <w:sz w:val="22"/>
          <w:szCs w:val="22"/>
        </w:rPr>
        <w:t>y</w:t>
      </w:r>
      <w:r w:rsidRPr="00B92E6F">
        <w:rPr>
          <w:sz w:val="22"/>
          <w:szCs w:val="22"/>
        </w:rPr>
        <w:t xml:space="preserve"> public water system operators and monitor public water systems to ensure that such systems comply with </w:t>
      </w:r>
      <w:r>
        <w:rPr>
          <w:sz w:val="22"/>
          <w:szCs w:val="22"/>
        </w:rPr>
        <w:t>federal and state laws.</w:t>
      </w:r>
      <w:r w:rsidRPr="00F630F2">
        <w:rPr>
          <w:sz w:val="22"/>
          <w:szCs w:val="22"/>
        </w:rPr>
        <w:t xml:space="preserve"> </w:t>
      </w:r>
    </w:p>
    <w:p w14:paraId="2D6DD8BE" w14:textId="77777777" w:rsidR="004461D4" w:rsidRDefault="004461D4" w:rsidP="004461D4">
      <w:pPr>
        <w:pStyle w:val="NoSpacing"/>
      </w:pPr>
    </w:p>
    <w:p w14:paraId="6A20C949" w14:textId="2776546A" w:rsidR="004461D4" w:rsidRDefault="004461D4" w:rsidP="004461D4">
      <w:pPr>
        <w:spacing w:after="0"/>
        <w:mirrorIndents/>
        <w:rPr>
          <w:sz w:val="22"/>
          <w:szCs w:val="22"/>
        </w:rPr>
      </w:pPr>
      <w:r w:rsidRPr="00285FCC">
        <w:rPr>
          <w:sz w:val="22"/>
          <w:szCs w:val="22"/>
        </w:rPr>
        <w:t xml:space="preserve">More than </w:t>
      </w:r>
      <w:r w:rsidR="00861C4C" w:rsidRPr="72C96E24">
        <w:rPr>
          <w:sz w:val="22"/>
          <w:szCs w:val="22"/>
        </w:rPr>
        <w:t>7.0</w:t>
      </w:r>
      <w:r w:rsidRPr="00285FCC">
        <w:rPr>
          <w:sz w:val="22"/>
          <w:szCs w:val="22"/>
        </w:rPr>
        <w:t xml:space="preserve"> million Washington residents get their drinking water from a Group A or Group B public water system. That's 8</w:t>
      </w:r>
      <w:r w:rsidR="00861C4C" w:rsidRPr="72C96E24">
        <w:rPr>
          <w:sz w:val="22"/>
          <w:szCs w:val="22"/>
        </w:rPr>
        <w:t>8</w:t>
      </w:r>
      <w:r w:rsidRPr="00285FCC">
        <w:rPr>
          <w:sz w:val="22"/>
          <w:szCs w:val="22"/>
        </w:rPr>
        <w:t xml:space="preserve"> percent of the state's population. About </w:t>
      </w:r>
      <w:r w:rsidR="00861C4C" w:rsidRPr="72C96E24">
        <w:rPr>
          <w:sz w:val="22"/>
          <w:szCs w:val="22"/>
        </w:rPr>
        <w:t>960</w:t>
      </w:r>
      <w:r w:rsidRPr="00285FCC">
        <w:rPr>
          <w:sz w:val="22"/>
          <w:szCs w:val="22"/>
        </w:rPr>
        <w:t>,000 Washington residents get their drinking water from individual private wells. </w:t>
      </w:r>
    </w:p>
    <w:p w14:paraId="523245A8" w14:textId="77777777" w:rsidR="004461D4" w:rsidRDefault="004461D4" w:rsidP="004461D4">
      <w:pPr>
        <w:spacing w:after="0"/>
        <w:mirrorIndents/>
      </w:pPr>
    </w:p>
    <w:p w14:paraId="6DA72D72" w14:textId="77777777" w:rsidR="004461D4" w:rsidRDefault="004461D4" w:rsidP="004461D4">
      <w:pPr>
        <w:spacing w:after="0"/>
        <w:mirrorIndents/>
        <w:rPr>
          <w:sz w:val="22"/>
          <w:szCs w:val="22"/>
        </w:rPr>
      </w:pPr>
      <w:hyperlink r:id="rId22" w:history="1">
        <w:r w:rsidRPr="00951788">
          <w:rPr>
            <w:rStyle w:val="Hyperlink"/>
            <w:sz w:val="22"/>
            <w:szCs w:val="22"/>
          </w:rPr>
          <w:t>RCW 43.70.250</w:t>
        </w:r>
      </w:hyperlink>
      <w:r w:rsidRPr="009F69ED">
        <w:rPr>
          <w:sz w:val="22"/>
          <w:szCs w:val="22"/>
        </w:rPr>
        <w:t xml:space="preserve"> authorize</w:t>
      </w:r>
      <w:r>
        <w:rPr>
          <w:sz w:val="22"/>
          <w:szCs w:val="22"/>
        </w:rPr>
        <w:t>s</w:t>
      </w:r>
      <w:r w:rsidRPr="009F69ED">
        <w:rPr>
          <w:sz w:val="22"/>
          <w:szCs w:val="22"/>
        </w:rPr>
        <w:t xml:space="preserve"> the Secretary of Health to establish various fees associated with licensing and regulation of professions, occupations, or businesses. These fees must be set at a level that covers the costs of administering each program or license.</w:t>
      </w:r>
      <w:r>
        <w:rPr>
          <w:sz w:val="22"/>
          <w:szCs w:val="22"/>
        </w:rPr>
        <w:t xml:space="preserve"> </w:t>
      </w:r>
      <w:hyperlink r:id="rId23" w:tgtFrame="_blank" w:history="1">
        <w:r w:rsidRPr="00923F62">
          <w:rPr>
            <w:rStyle w:val="Hyperlink"/>
            <w:sz w:val="22"/>
            <w:szCs w:val="22"/>
          </w:rPr>
          <w:t>RCW 43.20B.020</w:t>
        </w:r>
      </w:hyperlink>
      <w:r w:rsidRPr="00923F62">
        <w:rPr>
          <w:sz w:val="22"/>
          <w:szCs w:val="22"/>
        </w:rPr>
        <w:t xml:space="preserve"> also permits the Department to charge fees for services.</w:t>
      </w:r>
    </w:p>
    <w:p w14:paraId="7598A5BD" w14:textId="77777777" w:rsidR="00D27413" w:rsidRDefault="00D27413" w:rsidP="00D27413">
      <w:pPr>
        <w:pStyle w:val="NoSpacing"/>
      </w:pPr>
    </w:p>
    <w:p w14:paraId="7C1B42D9" w14:textId="3A28B1AD" w:rsidR="00D27413" w:rsidRDefault="00D27413" w:rsidP="00D27413">
      <w:pPr>
        <w:spacing w:after="0"/>
        <w:mirrorIndents/>
        <w:rPr>
          <w:sz w:val="22"/>
          <w:szCs w:val="22"/>
        </w:rPr>
      </w:pPr>
      <w:r w:rsidRPr="00732277">
        <w:rPr>
          <w:sz w:val="22"/>
          <w:szCs w:val="22"/>
        </w:rPr>
        <w:t xml:space="preserve">The </w:t>
      </w:r>
      <w:r>
        <w:rPr>
          <w:sz w:val="22"/>
          <w:szCs w:val="22"/>
        </w:rPr>
        <w:t>D</w:t>
      </w:r>
      <w:r w:rsidRPr="00732277">
        <w:rPr>
          <w:sz w:val="22"/>
          <w:szCs w:val="22"/>
        </w:rPr>
        <w:t xml:space="preserve">epartment has completed an initial assessment and determined the current fees are not generating sufficient revenue to cover the operating costs over the biennium. </w:t>
      </w:r>
      <w:r w:rsidRPr="001714C6">
        <w:rPr>
          <w:sz w:val="22"/>
          <w:szCs w:val="22"/>
        </w:rPr>
        <w:t>Considering the program’s financial forecast,</w:t>
      </w:r>
      <w:r>
        <w:rPr>
          <w:sz w:val="22"/>
          <w:szCs w:val="22"/>
        </w:rPr>
        <w:t xml:space="preserve"> the </w:t>
      </w:r>
      <w:r w:rsidR="00862E52">
        <w:rPr>
          <w:sz w:val="22"/>
          <w:szCs w:val="22"/>
        </w:rPr>
        <w:t>D</w:t>
      </w:r>
      <w:r>
        <w:rPr>
          <w:sz w:val="22"/>
          <w:szCs w:val="22"/>
        </w:rPr>
        <w:t>epartment recommends a fee</w:t>
      </w:r>
      <w:r w:rsidRPr="00732277">
        <w:rPr>
          <w:sz w:val="22"/>
          <w:szCs w:val="22"/>
        </w:rPr>
        <w:t xml:space="preserve"> </w:t>
      </w:r>
      <w:r>
        <w:rPr>
          <w:sz w:val="22"/>
          <w:szCs w:val="22"/>
        </w:rPr>
        <w:t xml:space="preserve">adjustment </w:t>
      </w:r>
      <w:r w:rsidRPr="00732277">
        <w:rPr>
          <w:sz w:val="22"/>
          <w:szCs w:val="22"/>
        </w:rPr>
        <w:t>to address existing program deficits, reductions in funding from General Fund State (GFS) account, and cost-of-living adjustments made in the 2025-2027 state budget (ESSB 5167).</w:t>
      </w:r>
    </w:p>
    <w:p w14:paraId="3CE078BE" w14:textId="77777777" w:rsidR="00D27413" w:rsidRDefault="00D27413" w:rsidP="00D27413">
      <w:pPr>
        <w:pStyle w:val="NoSpacing"/>
      </w:pPr>
    </w:p>
    <w:p w14:paraId="0A84D8E2" w14:textId="77777777" w:rsidR="00D27413" w:rsidRPr="001714C6" w:rsidRDefault="00D27413" w:rsidP="00D27413">
      <w:pPr>
        <w:spacing w:after="0"/>
        <w:mirrorIndents/>
        <w:rPr>
          <w:sz w:val="22"/>
          <w:szCs w:val="22"/>
        </w:rPr>
      </w:pPr>
      <w:r w:rsidRPr="001714C6">
        <w:rPr>
          <w:sz w:val="22"/>
          <w:szCs w:val="22"/>
        </w:rPr>
        <w:t>This document summarizes data on revenu</w:t>
      </w:r>
      <w:r>
        <w:rPr>
          <w:sz w:val="22"/>
          <w:szCs w:val="22"/>
        </w:rPr>
        <w:t>e, expenditures, fee reserve, cost</w:t>
      </w:r>
      <w:r w:rsidRPr="001714C6">
        <w:rPr>
          <w:sz w:val="22"/>
          <w:szCs w:val="22"/>
        </w:rPr>
        <w:t xml:space="preserve"> drivers</w:t>
      </w:r>
      <w:r>
        <w:rPr>
          <w:sz w:val="22"/>
          <w:szCs w:val="22"/>
        </w:rPr>
        <w:t>, financial forecast</w:t>
      </w:r>
      <w:r w:rsidRPr="001714C6">
        <w:rPr>
          <w:sz w:val="22"/>
          <w:szCs w:val="22"/>
        </w:rPr>
        <w:t xml:space="preserve">, and the </w:t>
      </w:r>
      <w:r>
        <w:rPr>
          <w:sz w:val="22"/>
          <w:szCs w:val="22"/>
        </w:rPr>
        <w:t>changes to existing</w:t>
      </w:r>
      <w:r w:rsidRPr="001714C6">
        <w:rPr>
          <w:sz w:val="22"/>
          <w:szCs w:val="22"/>
        </w:rPr>
        <w:t xml:space="preserve"> fees.</w:t>
      </w:r>
    </w:p>
    <w:p w14:paraId="258110FF" w14:textId="77777777" w:rsidR="00D27413" w:rsidRDefault="00D27413" w:rsidP="00D27413">
      <w:pPr>
        <w:pStyle w:val="NoSpacing"/>
      </w:pPr>
    </w:p>
    <w:p w14:paraId="6375D7A2" w14:textId="77777777" w:rsidR="00D27413" w:rsidRDefault="00D27413" w:rsidP="00D27413">
      <w:pPr>
        <w:spacing w:after="0"/>
        <w:rPr>
          <w:b/>
          <w:bCs/>
          <w:sz w:val="24"/>
          <w:szCs w:val="24"/>
        </w:rPr>
      </w:pPr>
      <w:r>
        <w:rPr>
          <w:b/>
          <w:bCs/>
          <w:sz w:val="24"/>
          <w:szCs w:val="24"/>
        </w:rPr>
        <w:t>Current Financial Status</w:t>
      </w:r>
    </w:p>
    <w:p w14:paraId="3E290DC0" w14:textId="3534A175" w:rsidR="007806B9" w:rsidRDefault="007806B9" w:rsidP="007806B9">
      <w:pPr>
        <w:spacing w:after="0"/>
        <w:mirrorIndents/>
        <w:rPr>
          <w:color w:val="auto"/>
          <w:sz w:val="22"/>
          <w:szCs w:val="22"/>
        </w:rPr>
      </w:pPr>
      <w:r w:rsidRPr="001714C6">
        <w:rPr>
          <w:sz w:val="22"/>
          <w:szCs w:val="22"/>
        </w:rPr>
        <w:t xml:space="preserve">The </w:t>
      </w:r>
      <w:r w:rsidRPr="482203AF">
        <w:rPr>
          <w:sz w:val="22"/>
          <w:szCs w:val="22"/>
        </w:rPr>
        <w:t xml:space="preserve">Department’s </w:t>
      </w:r>
      <w:r w:rsidRPr="007806B9">
        <w:rPr>
          <w:sz w:val="22"/>
          <w:szCs w:val="22"/>
        </w:rPr>
        <w:t xml:space="preserve">Certified Operator and Public Water System Certification Fees </w:t>
      </w:r>
      <w:r w:rsidRPr="001714C6">
        <w:rPr>
          <w:sz w:val="22"/>
          <w:szCs w:val="22"/>
        </w:rPr>
        <w:t xml:space="preserve">program </w:t>
      </w:r>
      <w:r w:rsidR="00DD28C1">
        <w:rPr>
          <w:sz w:val="22"/>
          <w:szCs w:val="22"/>
        </w:rPr>
        <w:t>currently,</w:t>
      </w:r>
      <w:r w:rsidR="00DD28C1" w:rsidRPr="001714C6">
        <w:rPr>
          <w:sz w:val="22"/>
          <w:szCs w:val="22"/>
        </w:rPr>
        <w:t xml:space="preserve"> fiscal year </w:t>
      </w:r>
      <w:r w:rsidR="00DD28C1">
        <w:rPr>
          <w:sz w:val="22"/>
          <w:szCs w:val="22"/>
        </w:rPr>
        <w:t>(</w:t>
      </w:r>
      <w:r w:rsidR="00DD28C1" w:rsidRPr="001714C6">
        <w:rPr>
          <w:sz w:val="22"/>
          <w:szCs w:val="22"/>
        </w:rPr>
        <w:t>FY</w:t>
      </w:r>
      <w:r w:rsidR="00DD28C1">
        <w:rPr>
          <w:sz w:val="22"/>
          <w:szCs w:val="22"/>
        </w:rPr>
        <w:t>)</w:t>
      </w:r>
      <w:r w:rsidR="00DD28C1" w:rsidRPr="482203AF">
        <w:rPr>
          <w:sz w:val="22"/>
          <w:szCs w:val="22"/>
        </w:rPr>
        <w:t xml:space="preserve"> </w:t>
      </w:r>
      <w:r w:rsidR="00DD28C1" w:rsidRPr="001714C6">
        <w:rPr>
          <w:sz w:val="22"/>
          <w:szCs w:val="22"/>
        </w:rPr>
        <w:t>20</w:t>
      </w:r>
      <w:r w:rsidR="00DD28C1">
        <w:rPr>
          <w:sz w:val="22"/>
          <w:szCs w:val="22"/>
        </w:rPr>
        <w:t>25,</w:t>
      </w:r>
      <w:r w:rsidR="00DD28C1" w:rsidRPr="001714C6">
        <w:rPr>
          <w:sz w:val="22"/>
          <w:szCs w:val="22"/>
        </w:rPr>
        <w:t xml:space="preserve"> </w:t>
      </w:r>
      <w:r w:rsidR="00DD28C1">
        <w:rPr>
          <w:sz w:val="22"/>
          <w:szCs w:val="22"/>
        </w:rPr>
        <w:t>has</w:t>
      </w:r>
      <w:r w:rsidR="00DD28C1" w:rsidRPr="001714C6">
        <w:rPr>
          <w:sz w:val="22"/>
          <w:szCs w:val="22"/>
        </w:rPr>
        <w:t xml:space="preserve"> a </w:t>
      </w:r>
      <w:r w:rsidR="00DD28C1">
        <w:rPr>
          <w:sz w:val="22"/>
          <w:szCs w:val="22"/>
        </w:rPr>
        <w:t>fee</w:t>
      </w:r>
      <w:r w:rsidR="00DD28C1" w:rsidRPr="001714C6">
        <w:rPr>
          <w:sz w:val="22"/>
          <w:szCs w:val="22"/>
        </w:rPr>
        <w:t xml:space="preserve"> balance of </w:t>
      </w:r>
      <w:r w:rsidR="00DD28C1" w:rsidRPr="001714C6">
        <w:rPr>
          <w:color w:val="auto"/>
          <w:sz w:val="22"/>
          <w:szCs w:val="22"/>
        </w:rPr>
        <w:t>$</w:t>
      </w:r>
      <w:r w:rsidR="00DD28C1">
        <w:rPr>
          <w:color w:val="auto"/>
          <w:sz w:val="22"/>
          <w:szCs w:val="22"/>
        </w:rPr>
        <w:t>599,228</w:t>
      </w:r>
      <w:r w:rsidR="00DD28C1" w:rsidRPr="001714C6">
        <w:rPr>
          <w:color w:val="auto"/>
          <w:sz w:val="22"/>
          <w:szCs w:val="22"/>
        </w:rPr>
        <w:t>.</w:t>
      </w:r>
      <w:r w:rsidR="00DD28C1">
        <w:rPr>
          <w:color w:val="auto"/>
          <w:sz w:val="22"/>
          <w:szCs w:val="22"/>
        </w:rPr>
        <w:t xml:space="preserve"> The fee balance is currently operating at a </w:t>
      </w:r>
      <w:r w:rsidR="00DD28C1" w:rsidRPr="00CD74D8">
        <w:rPr>
          <w:color w:val="auto"/>
          <w:sz w:val="22"/>
          <w:szCs w:val="22"/>
        </w:rPr>
        <w:t>surplus</w:t>
      </w:r>
      <w:r w:rsidR="00DD28C1">
        <w:rPr>
          <w:color w:val="auto"/>
          <w:sz w:val="22"/>
          <w:szCs w:val="22"/>
        </w:rPr>
        <w:t xml:space="preserve"> of the recommended reserve amount of $</w:t>
      </w:r>
      <w:r w:rsidR="000A4F18">
        <w:rPr>
          <w:color w:val="auto"/>
          <w:sz w:val="22"/>
          <w:szCs w:val="22"/>
        </w:rPr>
        <w:t>329,117</w:t>
      </w:r>
      <w:r w:rsidR="00DD28C1">
        <w:rPr>
          <w:color w:val="auto"/>
          <w:sz w:val="22"/>
          <w:szCs w:val="22"/>
        </w:rPr>
        <w:t xml:space="preserve">. The program is projected to deplete the reserve balance and operate at a deficit due to GFS reductions each year through </w:t>
      </w:r>
      <w:r w:rsidR="00DD28C1" w:rsidRPr="482203AF">
        <w:rPr>
          <w:color w:val="auto"/>
          <w:sz w:val="22"/>
          <w:szCs w:val="22"/>
        </w:rPr>
        <w:t>FY 20</w:t>
      </w:r>
      <w:r w:rsidR="00DD28C1">
        <w:rPr>
          <w:color w:val="auto"/>
          <w:sz w:val="22"/>
          <w:szCs w:val="22"/>
        </w:rPr>
        <w:t>31</w:t>
      </w:r>
      <w:r w:rsidR="00DD28C1" w:rsidRPr="482203AF">
        <w:rPr>
          <w:color w:val="auto"/>
          <w:sz w:val="22"/>
          <w:szCs w:val="22"/>
        </w:rPr>
        <w:t>.</w:t>
      </w:r>
    </w:p>
    <w:p w14:paraId="7FDD2CA5" w14:textId="77777777" w:rsidR="00D27413" w:rsidRDefault="00D27413" w:rsidP="008B1629">
      <w:pPr>
        <w:spacing w:after="0"/>
        <w:rPr>
          <w:b/>
          <w:bCs/>
          <w:sz w:val="24"/>
          <w:szCs w:val="24"/>
        </w:rPr>
      </w:pPr>
    </w:p>
    <w:p w14:paraId="6E996562" w14:textId="77777777" w:rsidR="0022778B" w:rsidRPr="00933216" w:rsidRDefault="0022778B" w:rsidP="0022778B">
      <w:pPr>
        <w:spacing w:after="0"/>
        <w:rPr>
          <w:b/>
          <w:bCs/>
          <w:sz w:val="24"/>
          <w:szCs w:val="24"/>
        </w:rPr>
      </w:pPr>
      <w:r w:rsidRPr="00933216">
        <w:rPr>
          <w:b/>
          <w:bCs/>
          <w:sz w:val="24"/>
          <w:szCs w:val="24"/>
        </w:rPr>
        <w:lastRenderedPageBreak/>
        <w:t>Revenue</w:t>
      </w:r>
    </w:p>
    <w:p w14:paraId="0DD3587D" w14:textId="06C88928" w:rsidR="0022778B" w:rsidRDefault="0022778B" w:rsidP="0022778B">
      <w:pPr>
        <w:mirrorIndents/>
        <w:rPr>
          <w:sz w:val="22"/>
          <w:szCs w:val="22"/>
        </w:rPr>
      </w:pPr>
      <w:r w:rsidRPr="001714C6">
        <w:rPr>
          <w:sz w:val="22"/>
          <w:szCs w:val="22"/>
        </w:rPr>
        <w:t xml:space="preserve">The </w:t>
      </w:r>
      <w:r>
        <w:rPr>
          <w:sz w:val="22"/>
          <w:szCs w:val="22"/>
        </w:rPr>
        <w:t>D</w:t>
      </w:r>
      <w:r w:rsidRPr="001714C6">
        <w:rPr>
          <w:sz w:val="22"/>
          <w:szCs w:val="22"/>
        </w:rPr>
        <w:t xml:space="preserve">epartment currently </w:t>
      </w:r>
      <w:r w:rsidR="00143F80">
        <w:rPr>
          <w:sz w:val="22"/>
          <w:szCs w:val="22"/>
        </w:rPr>
        <w:t>certifies operators</w:t>
      </w:r>
      <w:r>
        <w:rPr>
          <w:sz w:val="22"/>
          <w:szCs w:val="22"/>
        </w:rPr>
        <w:t xml:space="preserve"> with a </w:t>
      </w:r>
      <w:r w:rsidR="00F23FA2">
        <w:rPr>
          <w:sz w:val="22"/>
          <w:szCs w:val="22"/>
        </w:rPr>
        <w:t>3</w:t>
      </w:r>
      <w:r>
        <w:rPr>
          <w:sz w:val="22"/>
          <w:szCs w:val="22"/>
        </w:rPr>
        <w:t xml:space="preserve">-year </w:t>
      </w:r>
      <w:r w:rsidR="00143F80">
        <w:rPr>
          <w:sz w:val="22"/>
          <w:szCs w:val="22"/>
        </w:rPr>
        <w:t>professional growth</w:t>
      </w:r>
      <w:r>
        <w:rPr>
          <w:sz w:val="22"/>
          <w:szCs w:val="22"/>
        </w:rPr>
        <w:t xml:space="preserve"> cycle </w:t>
      </w:r>
      <w:r w:rsidR="00AF6163">
        <w:rPr>
          <w:sz w:val="22"/>
          <w:szCs w:val="22"/>
        </w:rPr>
        <w:t>and annual certification for water systems</w:t>
      </w:r>
      <w:r>
        <w:rPr>
          <w:sz w:val="22"/>
          <w:szCs w:val="22"/>
        </w:rPr>
        <w:t xml:space="preserve">. </w:t>
      </w:r>
      <w:r w:rsidRPr="00724A3F">
        <w:rPr>
          <w:sz w:val="22"/>
          <w:szCs w:val="22"/>
        </w:rPr>
        <w:t xml:space="preserve">The </w:t>
      </w:r>
      <w:r w:rsidR="005267E6" w:rsidRPr="005267E6">
        <w:rPr>
          <w:sz w:val="22"/>
          <w:szCs w:val="22"/>
        </w:rPr>
        <w:t xml:space="preserve">Certified Operator and Public Water System Certification Fees </w:t>
      </w:r>
      <w:r w:rsidR="00AD716B">
        <w:rPr>
          <w:sz w:val="22"/>
          <w:szCs w:val="22"/>
        </w:rPr>
        <w:t xml:space="preserve">program </w:t>
      </w:r>
      <w:r>
        <w:rPr>
          <w:sz w:val="22"/>
          <w:szCs w:val="22"/>
        </w:rPr>
        <w:t xml:space="preserve">receives </w:t>
      </w:r>
      <w:r w:rsidR="00710AC8">
        <w:rPr>
          <w:sz w:val="22"/>
          <w:szCs w:val="22"/>
        </w:rPr>
        <w:t xml:space="preserve">applications </w:t>
      </w:r>
      <w:r w:rsidR="003767BB">
        <w:rPr>
          <w:sz w:val="22"/>
          <w:szCs w:val="22"/>
        </w:rPr>
        <w:t>and renewal</w:t>
      </w:r>
      <w:r w:rsidR="00986435">
        <w:rPr>
          <w:sz w:val="22"/>
          <w:szCs w:val="22"/>
        </w:rPr>
        <w:t xml:space="preserve">s </w:t>
      </w:r>
      <w:r w:rsidR="00710AC8">
        <w:rPr>
          <w:sz w:val="22"/>
          <w:szCs w:val="22"/>
        </w:rPr>
        <w:t xml:space="preserve">from </w:t>
      </w:r>
      <w:r>
        <w:rPr>
          <w:sz w:val="22"/>
          <w:szCs w:val="22"/>
        </w:rPr>
        <w:t xml:space="preserve">around </w:t>
      </w:r>
      <w:r w:rsidR="007845B9">
        <w:rPr>
          <w:sz w:val="22"/>
          <w:szCs w:val="22"/>
        </w:rPr>
        <w:t>4</w:t>
      </w:r>
      <w:r w:rsidR="000D030B">
        <w:rPr>
          <w:sz w:val="22"/>
          <w:szCs w:val="22"/>
        </w:rPr>
        <w:t>,6</w:t>
      </w:r>
      <w:r w:rsidR="007845B9">
        <w:rPr>
          <w:sz w:val="22"/>
          <w:szCs w:val="22"/>
        </w:rPr>
        <w:t>00</w:t>
      </w:r>
      <w:r w:rsidR="00066361">
        <w:rPr>
          <w:sz w:val="22"/>
          <w:szCs w:val="22"/>
        </w:rPr>
        <w:t xml:space="preserve"> </w:t>
      </w:r>
      <w:r w:rsidR="00AF6163">
        <w:rPr>
          <w:sz w:val="22"/>
          <w:szCs w:val="22"/>
        </w:rPr>
        <w:t>operator</w:t>
      </w:r>
      <w:r w:rsidR="00F053CB">
        <w:rPr>
          <w:sz w:val="22"/>
          <w:szCs w:val="22"/>
        </w:rPr>
        <w:t>s</w:t>
      </w:r>
      <w:r w:rsidR="00AF6163">
        <w:rPr>
          <w:sz w:val="22"/>
          <w:szCs w:val="22"/>
        </w:rPr>
        <w:t xml:space="preserve"> and</w:t>
      </w:r>
      <w:r w:rsidR="00061C1B">
        <w:rPr>
          <w:sz w:val="22"/>
          <w:szCs w:val="22"/>
        </w:rPr>
        <w:t xml:space="preserve"> around </w:t>
      </w:r>
      <w:r w:rsidR="000D030B">
        <w:rPr>
          <w:sz w:val="22"/>
          <w:szCs w:val="22"/>
        </w:rPr>
        <w:t xml:space="preserve">2,550 </w:t>
      </w:r>
      <w:r w:rsidR="00061C1B">
        <w:rPr>
          <w:sz w:val="22"/>
          <w:szCs w:val="22"/>
        </w:rPr>
        <w:t xml:space="preserve">water systems </w:t>
      </w:r>
      <w:r w:rsidR="00DF26B3">
        <w:rPr>
          <w:sz w:val="22"/>
          <w:szCs w:val="22"/>
        </w:rPr>
        <w:t xml:space="preserve">pay certification fees </w:t>
      </w:r>
      <w:r>
        <w:rPr>
          <w:sz w:val="22"/>
          <w:szCs w:val="22"/>
        </w:rPr>
        <w:t xml:space="preserve">a year. </w:t>
      </w:r>
    </w:p>
    <w:p w14:paraId="083CA02F" w14:textId="77777777" w:rsidR="008A7B85" w:rsidRDefault="008A7B85" w:rsidP="00B4197F">
      <w:pPr>
        <w:pStyle w:val="NoSpacing"/>
      </w:pPr>
    </w:p>
    <w:p w14:paraId="7FF67EDC" w14:textId="1A49472F" w:rsidR="0022778B" w:rsidRPr="00933216" w:rsidRDefault="0022778B" w:rsidP="0022778B">
      <w:pPr>
        <w:spacing w:after="0"/>
        <w:rPr>
          <w:b/>
          <w:bCs/>
          <w:sz w:val="24"/>
          <w:szCs w:val="24"/>
        </w:rPr>
      </w:pPr>
      <w:r w:rsidRPr="00933216">
        <w:rPr>
          <w:b/>
          <w:bCs/>
          <w:sz w:val="24"/>
          <w:szCs w:val="24"/>
        </w:rPr>
        <w:t>Fees</w:t>
      </w:r>
    </w:p>
    <w:p w14:paraId="42A24944" w14:textId="7130DC46" w:rsidR="0022778B" w:rsidRPr="00AC2189" w:rsidRDefault="007E5D2A" w:rsidP="00AC2189">
      <w:pPr>
        <w:mirrorIndents/>
        <w:rPr>
          <w:sz w:val="22"/>
          <w:szCs w:val="22"/>
        </w:rPr>
      </w:pPr>
      <w:r>
        <w:rPr>
          <w:sz w:val="22"/>
          <w:szCs w:val="22"/>
        </w:rPr>
        <w:t xml:space="preserve">Initial operator applications and </w:t>
      </w:r>
      <w:r w:rsidR="00A7661D">
        <w:rPr>
          <w:sz w:val="22"/>
          <w:szCs w:val="22"/>
        </w:rPr>
        <w:t>ren</w:t>
      </w:r>
      <w:r w:rsidR="000B4C68">
        <w:rPr>
          <w:sz w:val="22"/>
          <w:szCs w:val="22"/>
        </w:rPr>
        <w:t xml:space="preserve">ewal fees for operators and </w:t>
      </w:r>
      <w:r w:rsidR="00986435">
        <w:rPr>
          <w:sz w:val="22"/>
          <w:szCs w:val="22"/>
        </w:rPr>
        <w:t>water system annual</w:t>
      </w:r>
      <w:r w:rsidR="0022778B" w:rsidRPr="001714C6">
        <w:rPr>
          <w:sz w:val="22"/>
          <w:szCs w:val="22"/>
        </w:rPr>
        <w:t xml:space="preserve"> </w:t>
      </w:r>
      <w:r w:rsidR="0022778B">
        <w:rPr>
          <w:sz w:val="22"/>
          <w:szCs w:val="22"/>
        </w:rPr>
        <w:t>certification</w:t>
      </w:r>
      <w:r w:rsidR="0022778B" w:rsidRPr="001714C6">
        <w:rPr>
          <w:sz w:val="22"/>
          <w:szCs w:val="22"/>
        </w:rPr>
        <w:t xml:space="preserve"> fees generate revenue for th</w:t>
      </w:r>
      <w:r w:rsidR="0022778B">
        <w:rPr>
          <w:sz w:val="22"/>
          <w:szCs w:val="22"/>
        </w:rPr>
        <w:t xml:space="preserve">e </w:t>
      </w:r>
      <w:r w:rsidR="00AD716B" w:rsidRPr="00AD716B">
        <w:rPr>
          <w:sz w:val="22"/>
          <w:szCs w:val="22"/>
        </w:rPr>
        <w:t xml:space="preserve">Certified Operator </w:t>
      </w:r>
      <w:r w:rsidR="0022778B" w:rsidRPr="001714C6">
        <w:rPr>
          <w:sz w:val="22"/>
          <w:szCs w:val="22"/>
        </w:rPr>
        <w:t xml:space="preserve">program </w:t>
      </w:r>
      <w:r w:rsidR="0022778B">
        <w:rPr>
          <w:sz w:val="22"/>
          <w:szCs w:val="22"/>
        </w:rPr>
        <w:t>(</w:t>
      </w:r>
      <w:hyperlink r:id="rId24">
        <w:r w:rsidR="00E25C6B" w:rsidRPr="09C9F506">
          <w:rPr>
            <w:rStyle w:val="Hyperlink"/>
            <w:sz w:val="22"/>
            <w:szCs w:val="22"/>
          </w:rPr>
          <w:t>WAC 246-292-995</w:t>
        </w:r>
      </w:hyperlink>
      <w:r w:rsidR="0022778B" w:rsidRPr="09C9F506">
        <w:rPr>
          <w:sz w:val="22"/>
          <w:szCs w:val="22"/>
        </w:rPr>
        <w:t>).</w:t>
      </w:r>
      <w:r w:rsidR="0022778B" w:rsidRPr="00C552FD">
        <w:rPr>
          <w:sz w:val="22"/>
          <w:szCs w:val="22"/>
        </w:rPr>
        <w:t xml:space="preserve"> </w:t>
      </w:r>
      <w:r w:rsidR="0022778B">
        <w:rPr>
          <w:sz w:val="22"/>
          <w:szCs w:val="22"/>
        </w:rPr>
        <w:t>The last fee change occurred in</w:t>
      </w:r>
      <w:r w:rsidR="0022778B" w:rsidDel="00B4197F">
        <w:rPr>
          <w:sz w:val="22"/>
          <w:szCs w:val="22"/>
        </w:rPr>
        <w:t xml:space="preserve"> </w:t>
      </w:r>
      <w:r w:rsidR="0022778B">
        <w:rPr>
          <w:sz w:val="22"/>
          <w:szCs w:val="22"/>
        </w:rPr>
        <w:t>20</w:t>
      </w:r>
      <w:r w:rsidR="000B2086">
        <w:rPr>
          <w:sz w:val="22"/>
          <w:szCs w:val="22"/>
        </w:rPr>
        <w:t>14</w:t>
      </w:r>
      <w:r w:rsidR="0022778B">
        <w:rPr>
          <w:sz w:val="22"/>
          <w:szCs w:val="22"/>
        </w:rPr>
        <w:t xml:space="preserve">, </w:t>
      </w:r>
      <w:r w:rsidR="00217707">
        <w:rPr>
          <w:sz w:val="22"/>
          <w:szCs w:val="22"/>
        </w:rPr>
        <w:t xml:space="preserve">creating the </w:t>
      </w:r>
      <w:r w:rsidR="00E24F7C">
        <w:rPr>
          <w:sz w:val="22"/>
          <w:szCs w:val="22"/>
        </w:rPr>
        <w:t>current</w:t>
      </w:r>
      <w:r w:rsidR="00C941F2">
        <w:rPr>
          <w:sz w:val="22"/>
          <w:szCs w:val="22"/>
        </w:rPr>
        <w:t xml:space="preserve"> fee</w:t>
      </w:r>
      <w:r w:rsidR="00E24F7C">
        <w:rPr>
          <w:sz w:val="22"/>
          <w:szCs w:val="22"/>
        </w:rPr>
        <w:t xml:space="preserve"> structure and section</w:t>
      </w:r>
      <w:r w:rsidR="0022778B">
        <w:rPr>
          <w:sz w:val="22"/>
          <w:szCs w:val="22"/>
        </w:rPr>
        <w:t xml:space="preserve">. </w:t>
      </w:r>
    </w:p>
    <w:p w14:paraId="2432A3FF" w14:textId="77777777" w:rsidR="00B4197F" w:rsidRDefault="00B4197F" w:rsidP="09C9F506">
      <w:pPr>
        <w:pStyle w:val="NoSpacing"/>
      </w:pPr>
    </w:p>
    <w:p w14:paraId="66E196A9" w14:textId="5D6FC703" w:rsidR="0022778B" w:rsidRPr="00933216" w:rsidRDefault="0022778B" w:rsidP="0022778B">
      <w:pPr>
        <w:spacing w:after="0"/>
        <w:rPr>
          <w:b/>
          <w:bCs/>
          <w:sz w:val="24"/>
          <w:szCs w:val="24"/>
        </w:rPr>
      </w:pPr>
      <w:r w:rsidRPr="00933216">
        <w:rPr>
          <w:b/>
          <w:bCs/>
          <w:sz w:val="24"/>
          <w:szCs w:val="24"/>
        </w:rPr>
        <w:t>Expenditures</w:t>
      </w:r>
    </w:p>
    <w:p w14:paraId="6441BA4E" w14:textId="4DBD069E" w:rsidR="00766C67" w:rsidRDefault="00194DE4" w:rsidP="00A86939">
      <w:pPr>
        <w:spacing w:after="0"/>
        <w:rPr>
          <w:noProof/>
          <w14:ligatures w14:val="none"/>
          <w14:cntxtAlts w14:val="0"/>
        </w:rPr>
      </w:pPr>
      <w:r w:rsidRPr="00427624">
        <w:rPr>
          <w:sz w:val="22"/>
          <w:szCs w:val="22"/>
        </w:rPr>
        <w:t xml:space="preserve">Costs for </w:t>
      </w:r>
      <w:r>
        <w:rPr>
          <w:sz w:val="22"/>
          <w:szCs w:val="22"/>
        </w:rPr>
        <w:t xml:space="preserve">the </w:t>
      </w:r>
      <w:r w:rsidRPr="00AD716B">
        <w:rPr>
          <w:sz w:val="22"/>
          <w:szCs w:val="22"/>
        </w:rPr>
        <w:t>Certified Operator and Public Water System Certification Fees</w:t>
      </w:r>
      <w:r w:rsidRPr="001714C6">
        <w:rPr>
          <w:sz w:val="22"/>
          <w:szCs w:val="22"/>
        </w:rPr>
        <w:t xml:space="preserve"> program </w:t>
      </w:r>
      <w:r>
        <w:rPr>
          <w:sz w:val="22"/>
          <w:szCs w:val="22"/>
        </w:rPr>
        <w:t xml:space="preserve">are </w:t>
      </w:r>
      <w:r w:rsidRPr="00427624">
        <w:rPr>
          <w:sz w:val="22"/>
          <w:szCs w:val="22"/>
        </w:rPr>
        <w:t xml:space="preserve">classified into </w:t>
      </w:r>
      <w:r>
        <w:rPr>
          <w:sz w:val="22"/>
          <w:szCs w:val="22"/>
        </w:rPr>
        <w:t>three</w:t>
      </w:r>
      <w:r w:rsidRPr="00427624">
        <w:rPr>
          <w:sz w:val="22"/>
          <w:szCs w:val="22"/>
        </w:rPr>
        <w:t xml:space="preserve"> primary categories: </w:t>
      </w:r>
      <w:r>
        <w:rPr>
          <w:sz w:val="22"/>
          <w:szCs w:val="22"/>
        </w:rPr>
        <w:t>O</w:t>
      </w:r>
      <w:r w:rsidRPr="00427624">
        <w:rPr>
          <w:sz w:val="22"/>
          <w:szCs w:val="22"/>
        </w:rPr>
        <w:t>perations</w:t>
      </w:r>
      <w:r>
        <w:rPr>
          <w:sz w:val="22"/>
          <w:szCs w:val="22"/>
        </w:rPr>
        <w:t>, Heath Technology Services (HTS)</w:t>
      </w:r>
      <w:r w:rsidR="00B4197F">
        <w:rPr>
          <w:sz w:val="22"/>
          <w:szCs w:val="22"/>
        </w:rPr>
        <w:t>,</w:t>
      </w:r>
      <w:r w:rsidRPr="00427624">
        <w:rPr>
          <w:sz w:val="22"/>
          <w:szCs w:val="22"/>
        </w:rPr>
        <w:t xml:space="preserve"> </w:t>
      </w:r>
      <w:r>
        <w:rPr>
          <w:sz w:val="22"/>
          <w:szCs w:val="22"/>
        </w:rPr>
        <w:t>and Indirect</w:t>
      </w:r>
      <w:r w:rsidRPr="00616B2A">
        <w:rPr>
          <w:sz w:val="22"/>
          <w:szCs w:val="22"/>
        </w:rPr>
        <w:t>.</w:t>
      </w:r>
      <w:r w:rsidRPr="00964BBB">
        <w:rPr>
          <w:noProof/>
          <w:sz w:val="22"/>
          <w:szCs w:val="22"/>
          <w14:ligatures w14:val="none"/>
          <w14:cntxtAlts w14:val="0"/>
        </w:rPr>
        <w:t xml:space="preserve"> </w:t>
      </w:r>
      <w:r w:rsidR="5267BE0D" w:rsidRPr="00964BBB">
        <w:rPr>
          <w:noProof/>
          <w:sz w:val="22"/>
          <w:szCs w:val="22"/>
        </w:rPr>
        <w:t xml:space="preserve">Fluctuations </w:t>
      </w:r>
      <w:r w:rsidR="5B799D25" w:rsidRPr="00964BBB">
        <w:rPr>
          <w:noProof/>
          <w:sz w:val="22"/>
          <w:szCs w:val="22"/>
        </w:rPr>
        <w:t>in</w:t>
      </w:r>
      <w:r w:rsidR="5267BE0D" w:rsidRPr="00964BBB">
        <w:rPr>
          <w:noProof/>
          <w:sz w:val="22"/>
          <w:szCs w:val="22"/>
        </w:rPr>
        <w:t xml:space="preserve"> operating costs are due to </w:t>
      </w:r>
      <w:r w:rsidR="087495CB" w:rsidRPr="00964BBB">
        <w:rPr>
          <w:noProof/>
          <w:sz w:val="22"/>
          <w:szCs w:val="22"/>
        </w:rPr>
        <w:t>varying</w:t>
      </w:r>
      <w:r w:rsidR="5267BE0D" w:rsidRPr="00964BBB">
        <w:rPr>
          <w:sz w:val="22"/>
          <w:szCs w:val="22"/>
          <w14:ligatures w14:val="none"/>
          <w14:cntxtAlts w14:val="0"/>
        </w:rPr>
        <w:t xml:space="preserve"> staffing levels</w:t>
      </w:r>
      <w:r w:rsidR="00616B2A">
        <w:rPr>
          <w:sz w:val="22"/>
          <w:szCs w:val="22"/>
          <w14:ligatures w14:val="none"/>
          <w14:cntxtAlts w14:val="0"/>
        </w:rPr>
        <w:t>.</w:t>
      </w:r>
    </w:p>
    <w:p w14:paraId="5EEA3E92" w14:textId="3B772135" w:rsidR="00194DE4" w:rsidRDefault="00766C67" w:rsidP="00A86939">
      <w:pPr>
        <w:spacing w:after="0"/>
        <w:rPr>
          <w:noProof/>
          <w14:ligatures w14:val="none"/>
          <w14:cntxtAlts w14:val="0"/>
        </w:rPr>
      </w:pPr>
      <w:r w:rsidRPr="00766C67">
        <w:rPr>
          <w:noProof/>
          <w14:ligatures w14:val="none"/>
          <w14:cntxtAlts w14:val="0"/>
        </w:rPr>
        <w:drawing>
          <wp:inline distT="0" distB="0" distL="0" distR="0" wp14:anchorId="47B57D21" wp14:editId="2BA6DCF3">
            <wp:extent cx="5820156" cy="1258785"/>
            <wp:effectExtent l="0" t="0" r="0" b="0"/>
            <wp:docPr id="769158020"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58020" name="Picture 1" descr="Table&#10;&#10;AI-generated content may be incorrect."/>
                    <pic:cNvPicPr/>
                  </pic:nvPicPr>
                  <pic:blipFill rotWithShape="1">
                    <a:blip r:embed="rId25"/>
                    <a:srcRect l="305" t="924" b="1169"/>
                    <a:stretch>
                      <a:fillRect/>
                    </a:stretch>
                  </pic:blipFill>
                  <pic:spPr bwMode="auto">
                    <a:xfrm>
                      <a:off x="0" y="0"/>
                      <a:ext cx="5821824" cy="1259146"/>
                    </a:xfrm>
                    <a:prstGeom prst="rect">
                      <a:avLst/>
                    </a:prstGeom>
                    <a:ln>
                      <a:noFill/>
                    </a:ln>
                    <a:extLst>
                      <a:ext uri="{53640926-AAD7-44D8-BBD7-CCE9431645EC}">
                        <a14:shadowObscured xmlns:a14="http://schemas.microsoft.com/office/drawing/2010/main"/>
                      </a:ext>
                    </a:extLst>
                  </pic:spPr>
                </pic:pic>
              </a:graphicData>
            </a:graphic>
          </wp:inline>
        </w:drawing>
      </w:r>
    </w:p>
    <w:p w14:paraId="053D7ED5" w14:textId="77777777" w:rsidR="00B4197F" w:rsidRDefault="00B4197F" w:rsidP="09C9F506">
      <w:pPr>
        <w:pStyle w:val="NoSpacing"/>
      </w:pPr>
    </w:p>
    <w:p w14:paraId="2F249B0D" w14:textId="638F22F8" w:rsidR="00A86939" w:rsidRPr="00996060" w:rsidRDefault="00A86939" w:rsidP="00A86939">
      <w:pPr>
        <w:spacing w:after="0"/>
        <w:rPr>
          <w:b/>
          <w:bCs/>
          <w:sz w:val="24"/>
          <w:szCs w:val="24"/>
        </w:rPr>
      </w:pPr>
      <w:r w:rsidRPr="00125C98">
        <w:rPr>
          <w:b/>
          <w:bCs/>
          <w:sz w:val="24"/>
          <w:szCs w:val="24"/>
        </w:rPr>
        <w:t>Financial Forecast</w:t>
      </w:r>
    </w:p>
    <w:p w14:paraId="2A5CFBA5" w14:textId="77777777" w:rsidR="00A86939" w:rsidRPr="00125C98" w:rsidRDefault="00A86939" w:rsidP="00A86939">
      <w:pPr>
        <w:spacing w:after="0"/>
        <w:rPr>
          <w:b/>
          <w:bCs/>
          <w:sz w:val="22"/>
          <w:szCs w:val="22"/>
        </w:rPr>
      </w:pPr>
      <w:r w:rsidRPr="00125C98">
        <w:rPr>
          <w:b/>
          <w:bCs/>
          <w:sz w:val="22"/>
          <w:szCs w:val="22"/>
        </w:rPr>
        <w:t>Revenue</w:t>
      </w:r>
    </w:p>
    <w:p w14:paraId="4C2EAC14" w14:textId="590ED248" w:rsidR="00A86939" w:rsidRDefault="00A86939" w:rsidP="00A86939">
      <w:pPr>
        <w:mirrorIndents/>
        <w:rPr>
          <w:sz w:val="22"/>
          <w:szCs w:val="22"/>
        </w:rPr>
      </w:pPr>
      <w:r w:rsidRPr="7ECDAC8B">
        <w:rPr>
          <w:sz w:val="22"/>
          <w:szCs w:val="22"/>
        </w:rPr>
        <w:t xml:space="preserve">The Department does not anticipate any significant growth in </w:t>
      </w:r>
      <w:r w:rsidR="00AD716B" w:rsidRPr="00AD716B">
        <w:rPr>
          <w:sz w:val="22"/>
          <w:szCs w:val="22"/>
        </w:rPr>
        <w:t xml:space="preserve">Certified Operator and Public Water System Certification Fees </w:t>
      </w:r>
      <w:r w:rsidRPr="7ECDAC8B">
        <w:rPr>
          <w:sz w:val="22"/>
          <w:szCs w:val="22"/>
        </w:rPr>
        <w:t xml:space="preserve">activities over the next five years. Operations are projected to </w:t>
      </w:r>
      <w:r>
        <w:rPr>
          <w:sz w:val="22"/>
          <w:szCs w:val="22"/>
        </w:rPr>
        <w:t>maintain a</w:t>
      </w:r>
      <w:r w:rsidR="006248F9">
        <w:rPr>
          <w:sz w:val="22"/>
          <w:szCs w:val="22"/>
        </w:rPr>
        <w:t>n</w:t>
      </w:r>
      <w:r>
        <w:rPr>
          <w:sz w:val="22"/>
          <w:szCs w:val="22"/>
        </w:rPr>
        <w:t xml:space="preserve"> </w:t>
      </w:r>
      <w:r w:rsidR="000D5821">
        <w:rPr>
          <w:sz w:val="22"/>
          <w:szCs w:val="22"/>
        </w:rPr>
        <w:t xml:space="preserve">annual renewal </w:t>
      </w:r>
      <w:r>
        <w:rPr>
          <w:sz w:val="22"/>
          <w:szCs w:val="22"/>
        </w:rPr>
        <w:t>cycle</w:t>
      </w:r>
      <w:r w:rsidR="00FF677C">
        <w:rPr>
          <w:sz w:val="22"/>
          <w:szCs w:val="22"/>
        </w:rPr>
        <w:t xml:space="preserve"> for water systems and a 3-year growth cycle for operator certification</w:t>
      </w:r>
      <w:r w:rsidRPr="7ECDAC8B">
        <w:rPr>
          <w:sz w:val="22"/>
          <w:szCs w:val="22"/>
        </w:rPr>
        <w:t xml:space="preserve">. The Department expects these trends to continue. </w:t>
      </w:r>
    </w:p>
    <w:p w14:paraId="358C4B84" w14:textId="77777777" w:rsidR="00A86939" w:rsidRPr="00125C98" w:rsidRDefault="00A86939" w:rsidP="00A86939">
      <w:pPr>
        <w:spacing w:after="0"/>
        <w:rPr>
          <w:b/>
          <w:bCs/>
          <w:sz w:val="22"/>
          <w:szCs w:val="22"/>
        </w:rPr>
      </w:pPr>
      <w:r w:rsidRPr="00125C98">
        <w:rPr>
          <w:b/>
          <w:bCs/>
          <w:sz w:val="22"/>
          <w:szCs w:val="22"/>
        </w:rPr>
        <w:t>Expenditures</w:t>
      </w:r>
    </w:p>
    <w:p w14:paraId="6239CF08" w14:textId="02FC19E9" w:rsidR="00A86939" w:rsidRDefault="00A86939" w:rsidP="00A86939">
      <w:pPr>
        <w:widowControl w:val="0"/>
        <w:spacing w:line="286" w:lineRule="auto"/>
        <w:mirrorIndents/>
      </w:pPr>
      <w:r w:rsidRPr="7ECDAC8B">
        <w:rPr>
          <w:rFonts w:eastAsia="Calibri"/>
          <w:color w:val="000000" w:themeColor="text1"/>
          <w:sz w:val="22"/>
          <w:szCs w:val="22"/>
        </w:rPr>
        <w:t xml:space="preserve">The Department anticipates costs for the </w:t>
      </w:r>
      <w:r w:rsidR="00AD716B" w:rsidRPr="00AD716B">
        <w:rPr>
          <w:rFonts w:eastAsia="Calibri"/>
          <w:color w:val="000000" w:themeColor="text1"/>
          <w:sz w:val="22"/>
          <w:szCs w:val="22"/>
        </w:rPr>
        <w:t xml:space="preserve">Certified Operator and Public Water System Certification Fees </w:t>
      </w:r>
      <w:r w:rsidRPr="7ECDAC8B">
        <w:rPr>
          <w:rFonts w:eastAsia="Calibri"/>
          <w:color w:val="000000" w:themeColor="text1"/>
          <w:sz w:val="22"/>
          <w:szCs w:val="22"/>
        </w:rPr>
        <w:t>program personnel to increase by three percent annually. Cost increases are primarily due to inflation for personnel-related costs.</w:t>
      </w:r>
      <w:r w:rsidRPr="7ECDAC8B">
        <w:rPr>
          <w:noProof/>
        </w:rPr>
        <w:t xml:space="preserve"> </w:t>
      </w:r>
      <w:r w:rsidRPr="7ECDAC8B">
        <w:rPr>
          <w:noProof/>
          <w:sz w:val="22"/>
          <w:szCs w:val="22"/>
        </w:rPr>
        <w:t xml:space="preserve">The </w:t>
      </w:r>
      <w:r w:rsidR="00AD716B" w:rsidRPr="00AD716B">
        <w:rPr>
          <w:sz w:val="22"/>
          <w:szCs w:val="22"/>
        </w:rPr>
        <w:t xml:space="preserve">Certified Operator and Public Water System Certification Fees </w:t>
      </w:r>
      <w:r w:rsidRPr="7ECDAC8B">
        <w:rPr>
          <w:noProof/>
          <w:sz w:val="22"/>
          <w:szCs w:val="22"/>
        </w:rPr>
        <w:t xml:space="preserve">program needs </w:t>
      </w:r>
      <w:r w:rsidRPr="7ECDAC8B">
        <w:rPr>
          <w:sz w:val="22"/>
          <w:szCs w:val="22"/>
        </w:rPr>
        <w:t>a fee adjustment to address existing program deficits, reductions in funding from the General Fund State (GFS) account</w:t>
      </w:r>
      <w:r>
        <w:rPr>
          <w:sz w:val="22"/>
          <w:szCs w:val="22"/>
        </w:rPr>
        <w:t>,</w:t>
      </w:r>
      <w:r w:rsidRPr="7ECDAC8B">
        <w:rPr>
          <w:sz w:val="22"/>
          <w:szCs w:val="22"/>
        </w:rPr>
        <w:t xml:space="preserve"> and cost-of-living adjustments made in the 2025-2027 state budget (ESSB 5167).</w:t>
      </w:r>
    </w:p>
    <w:p w14:paraId="5EC85C11" w14:textId="77777777" w:rsidR="00A86939" w:rsidRPr="00125C98" w:rsidRDefault="00A86939" w:rsidP="00A86939">
      <w:pPr>
        <w:spacing w:after="0"/>
        <w:rPr>
          <w:b/>
          <w:bCs/>
          <w:sz w:val="22"/>
          <w:szCs w:val="22"/>
        </w:rPr>
      </w:pPr>
      <w:r w:rsidRPr="00125C98">
        <w:rPr>
          <w:b/>
          <w:bCs/>
          <w:sz w:val="22"/>
          <w:szCs w:val="22"/>
        </w:rPr>
        <w:t>Fee Reserve</w:t>
      </w:r>
    </w:p>
    <w:p w14:paraId="4780E32C" w14:textId="053B6DE6" w:rsidR="00A86939" w:rsidRDefault="00A86939" w:rsidP="00A86939">
      <w:pPr>
        <w:widowControl w:val="0"/>
        <w:spacing w:line="286" w:lineRule="auto"/>
        <w:mirrorIndents/>
        <w:rPr>
          <w:rFonts w:ascii="Cambria" w:hAnsi="Cambria"/>
          <w:color w:val="2F5496" w:themeColor="accent5" w:themeShade="BF"/>
          <w:sz w:val="24"/>
          <w:szCs w:val="24"/>
        </w:rPr>
      </w:pPr>
      <w:r w:rsidRPr="7ECDAC8B">
        <w:rPr>
          <w:rFonts w:eastAsia="Calibri"/>
          <w:color w:val="000000" w:themeColor="text1"/>
          <w:sz w:val="22"/>
          <w:szCs w:val="22"/>
        </w:rPr>
        <w:t xml:space="preserve">The </w:t>
      </w:r>
      <w:r w:rsidR="00AD716B" w:rsidRPr="00AD716B">
        <w:rPr>
          <w:sz w:val="22"/>
          <w:szCs w:val="22"/>
        </w:rPr>
        <w:t>Certified Operator and Public Water System Certification Fees</w:t>
      </w:r>
      <w:r w:rsidR="00AD716B" w:rsidRPr="00AD716B">
        <w:rPr>
          <w:rFonts w:eastAsia="Calibri"/>
          <w:sz w:val="22"/>
          <w:szCs w:val="22"/>
        </w:rPr>
        <w:t xml:space="preserve"> </w:t>
      </w:r>
      <w:r w:rsidRPr="7ECDAC8B">
        <w:rPr>
          <w:rFonts w:eastAsia="Calibri"/>
          <w:color w:val="000000" w:themeColor="text1"/>
          <w:sz w:val="22"/>
          <w:szCs w:val="22"/>
        </w:rPr>
        <w:t>program is not expected to generate enough revenue to cover costs over the next six years</w:t>
      </w:r>
      <w:r>
        <w:rPr>
          <w:rFonts w:eastAsia="Calibri"/>
          <w:color w:val="000000" w:themeColor="text1"/>
          <w:sz w:val="22"/>
          <w:szCs w:val="22"/>
        </w:rPr>
        <w:t>,</w:t>
      </w:r>
      <w:r w:rsidRPr="7ECDAC8B">
        <w:rPr>
          <w:rFonts w:eastAsia="Calibri"/>
          <w:color w:val="000000" w:themeColor="text1"/>
          <w:sz w:val="22"/>
          <w:szCs w:val="22"/>
        </w:rPr>
        <w:t xml:space="preserve"> </w:t>
      </w:r>
      <w:r w:rsidRPr="4E3FC84D">
        <w:rPr>
          <w:rFonts w:eastAsia="Calibri"/>
          <w:color w:val="000000" w:themeColor="text1"/>
          <w:sz w:val="22"/>
          <w:szCs w:val="22"/>
        </w:rPr>
        <w:t>which includes the necessary drawdown of the reserve fee balance.</w:t>
      </w:r>
    </w:p>
    <w:p w14:paraId="6A9B8FF5" w14:textId="2A9C925A" w:rsidR="00092C86" w:rsidRDefault="00A86939" w:rsidP="00873551">
      <w:pPr>
        <w:widowControl w:val="0"/>
        <w:spacing w:line="286" w:lineRule="auto"/>
        <w:mirrorIndents/>
        <w:rPr>
          <w:sz w:val="22"/>
          <w:szCs w:val="22"/>
        </w:rPr>
      </w:pPr>
      <w:r>
        <w:rPr>
          <w:sz w:val="22"/>
          <w:szCs w:val="22"/>
        </w:rPr>
        <w:lastRenderedPageBreak/>
        <w:t>The chart below shows actual revenue and expenditures from FY 2019 through FY 2024, and projected revenue and expenditures from FY 2025 through FY 2031.</w:t>
      </w:r>
      <w:r w:rsidR="00B23B13" w:rsidRPr="00B23B13">
        <w:rPr>
          <w:noProof/>
          <w14:ligatures w14:val="none"/>
          <w14:cntxtAlts w14:val="0"/>
        </w:rPr>
        <w:t xml:space="preserve"> </w:t>
      </w:r>
      <w:r w:rsidR="00B23B13" w:rsidRPr="00B23B13">
        <w:rPr>
          <w:noProof/>
          <w:sz w:val="22"/>
          <w:szCs w:val="22"/>
        </w:rPr>
        <w:drawing>
          <wp:inline distT="0" distB="0" distL="0" distR="0" wp14:anchorId="5AD0D3C5" wp14:editId="3D7E0A9E">
            <wp:extent cx="5681980" cy="2594758"/>
            <wp:effectExtent l="0" t="0" r="0" b="635"/>
            <wp:docPr id="2042855819"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55819" name="Picture 1" descr="Chart&#10;&#10;AI-generated content may be incorrect."/>
                    <pic:cNvPicPr/>
                  </pic:nvPicPr>
                  <pic:blipFill>
                    <a:blip r:embed="rId26"/>
                    <a:stretch>
                      <a:fillRect/>
                    </a:stretch>
                  </pic:blipFill>
                  <pic:spPr>
                    <a:xfrm>
                      <a:off x="0" y="0"/>
                      <a:ext cx="5681980" cy="2594758"/>
                    </a:xfrm>
                    <a:prstGeom prst="rect">
                      <a:avLst/>
                    </a:prstGeom>
                  </pic:spPr>
                </pic:pic>
              </a:graphicData>
            </a:graphic>
          </wp:inline>
        </w:drawing>
      </w:r>
    </w:p>
    <w:p w14:paraId="172605DC" w14:textId="77777777" w:rsidR="006E1FC6" w:rsidRDefault="006E1FC6" w:rsidP="006E1FC6">
      <w:pPr>
        <w:pStyle w:val="NoSpacing"/>
      </w:pPr>
    </w:p>
    <w:p w14:paraId="6CEE9406" w14:textId="0132DBC7" w:rsidR="00092C86" w:rsidRPr="00377CBF" w:rsidRDefault="00092C86" w:rsidP="00377CBF">
      <w:pPr>
        <w:spacing w:after="0"/>
        <w:rPr>
          <w:b/>
          <w:bCs/>
          <w:sz w:val="24"/>
          <w:szCs w:val="24"/>
        </w:rPr>
      </w:pPr>
      <w:r w:rsidRPr="00377CBF">
        <w:rPr>
          <w:b/>
          <w:bCs/>
          <w:sz w:val="24"/>
          <w:szCs w:val="24"/>
        </w:rPr>
        <w:t xml:space="preserve">Fee Proposal </w:t>
      </w:r>
    </w:p>
    <w:p w14:paraId="052F83D4" w14:textId="77777777" w:rsidR="000353BE" w:rsidRPr="00873551" w:rsidRDefault="009549AE" w:rsidP="00092C86">
      <w:pPr>
        <w:rPr>
          <w:sz w:val="22"/>
          <w:szCs w:val="22"/>
        </w:rPr>
      </w:pPr>
      <w:r w:rsidRPr="7ECDAC8B">
        <w:rPr>
          <w:sz w:val="22"/>
          <w:szCs w:val="22"/>
        </w:rPr>
        <w:t>To address existing program deficits, reductions in funding from the General Fund State (GFS) account</w:t>
      </w:r>
      <w:r>
        <w:rPr>
          <w:sz w:val="22"/>
          <w:szCs w:val="22"/>
        </w:rPr>
        <w:t>,</w:t>
      </w:r>
      <w:r w:rsidRPr="7ECDAC8B">
        <w:rPr>
          <w:sz w:val="22"/>
          <w:szCs w:val="22"/>
        </w:rPr>
        <w:t xml:space="preserve"> and cost-of-living adjustments made in the 2025-2027 state budget (ESSB 5167), and bring the </w:t>
      </w:r>
      <w:r w:rsidR="00AD716B" w:rsidRPr="00AD716B">
        <w:rPr>
          <w:sz w:val="22"/>
          <w:szCs w:val="22"/>
        </w:rPr>
        <w:t xml:space="preserve">Certified Operator and Public Water System Certification </w:t>
      </w:r>
      <w:r w:rsidRPr="7ECDAC8B">
        <w:rPr>
          <w:sz w:val="22"/>
          <w:szCs w:val="22"/>
        </w:rPr>
        <w:t>fee balance into alignment with requirements, the following fees are proposed: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2537"/>
        <w:gridCol w:w="3712"/>
        <w:gridCol w:w="1440"/>
        <w:gridCol w:w="1661"/>
      </w:tblGrid>
      <w:tr w:rsidR="000353BE" w:rsidRPr="000353BE" w14:paraId="7697EC64" w14:textId="77777777" w:rsidTr="00A4341B">
        <w:trPr>
          <w:trHeight w:val="375"/>
        </w:trPr>
        <w:tc>
          <w:tcPr>
            <w:tcW w:w="5000" w:type="pct"/>
            <w:gridSpan w:val="4"/>
            <w:shd w:val="clear" w:color="auto" w:fill="00B0F0"/>
            <w:noWrap/>
            <w:vAlign w:val="center"/>
            <w:hideMark/>
          </w:tcPr>
          <w:p w14:paraId="0AE10C0C" w14:textId="77777777" w:rsidR="000353BE" w:rsidRPr="000353BE" w:rsidRDefault="000353BE" w:rsidP="000353BE">
            <w:pPr>
              <w:spacing w:after="0" w:line="240" w:lineRule="auto"/>
              <w:jc w:val="center"/>
              <w:rPr>
                <w:b/>
                <w:bCs/>
                <w:kern w:val="0"/>
                <w:sz w:val="28"/>
                <w:szCs w:val="28"/>
                <w14:ligatures w14:val="none"/>
                <w14:cntxtAlts w14:val="0"/>
              </w:rPr>
            </w:pPr>
            <w:r w:rsidRPr="000353BE">
              <w:rPr>
                <w:b/>
                <w:bCs/>
                <w:kern w:val="0"/>
                <w:sz w:val="28"/>
                <w:szCs w:val="28"/>
                <w14:ligatures w14:val="none"/>
                <w14:cntxtAlts w14:val="0"/>
              </w:rPr>
              <w:t>Fee Proposal</w:t>
            </w:r>
          </w:p>
        </w:tc>
      </w:tr>
      <w:tr w:rsidR="000353BE" w:rsidRPr="000353BE" w14:paraId="72717463" w14:textId="77777777" w:rsidTr="00A4341B">
        <w:trPr>
          <w:trHeight w:val="300"/>
        </w:trPr>
        <w:tc>
          <w:tcPr>
            <w:tcW w:w="1357" w:type="pct"/>
            <w:shd w:val="clear" w:color="auto" w:fill="00B0F0"/>
            <w:noWrap/>
            <w:vAlign w:val="bottom"/>
            <w:hideMark/>
          </w:tcPr>
          <w:p w14:paraId="3D54B5D5"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Type</w:t>
            </w:r>
          </w:p>
        </w:tc>
        <w:tc>
          <w:tcPr>
            <w:tcW w:w="1985" w:type="pct"/>
            <w:shd w:val="clear" w:color="auto" w:fill="00B0F0"/>
            <w:noWrap/>
            <w:vAlign w:val="bottom"/>
            <w:hideMark/>
          </w:tcPr>
          <w:p w14:paraId="75D08FCE"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Operator Classification</w:t>
            </w:r>
          </w:p>
        </w:tc>
        <w:tc>
          <w:tcPr>
            <w:tcW w:w="770" w:type="pct"/>
            <w:shd w:val="clear" w:color="auto" w:fill="00B0F0"/>
            <w:noWrap/>
            <w:vAlign w:val="bottom"/>
            <w:hideMark/>
          </w:tcPr>
          <w:p w14:paraId="5D29D376"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Current Fee</w:t>
            </w:r>
          </w:p>
        </w:tc>
        <w:tc>
          <w:tcPr>
            <w:tcW w:w="889" w:type="pct"/>
            <w:shd w:val="clear" w:color="auto" w:fill="00B0F0"/>
            <w:noWrap/>
            <w:vAlign w:val="bottom"/>
            <w:hideMark/>
          </w:tcPr>
          <w:p w14:paraId="28A23900"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Proposed Fee</w:t>
            </w:r>
          </w:p>
        </w:tc>
      </w:tr>
      <w:tr w:rsidR="000353BE" w:rsidRPr="000353BE" w14:paraId="3DC36B5B" w14:textId="77777777" w:rsidTr="00A4341B">
        <w:trPr>
          <w:trHeight w:val="300"/>
        </w:trPr>
        <w:tc>
          <w:tcPr>
            <w:tcW w:w="5000" w:type="pct"/>
            <w:gridSpan w:val="4"/>
            <w:noWrap/>
            <w:vAlign w:val="center"/>
            <w:hideMark/>
          </w:tcPr>
          <w:p w14:paraId="058AED6F"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Certified Operator Fees</w:t>
            </w:r>
          </w:p>
        </w:tc>
      </w:tr>
      <w:tr w:rsidR="000353BE" w:rsidRPr="000353BE" w14:paraId="6AA3CED5" w14:textId="77777777" w:rsidTr="00A4341B">
        <w:trPr>
          <w:trHeight w:val="300"/>
        </w:trPr>
        <w:tc>
          <w:tcPr>
            <w:tcW w:w="1357" w:type="pct"/>
            <w:vMerge w:val="restart"/>
            <w:vAlign w:val="center"/>
            <w:hideMark/>
          </w:tcPr>
          <w:p w14:paraId="0CFA4619"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Application Fee By Examination</w:t>
            </w:r>
          </w:p>
        </w:tc>
        <w:tc>
          <w:tcPr>
            <w:tcW w:w="1985" w:type="pct"/>
            <w:noWrap/>
            <w:vAlign w:val="center"/>
            <w:hideMark/>
          </w:tcPr>
          <w:p w14:paraId="785FDDDB"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WTPO </w:t>
            </w:r>
          </w:p>
        </w:tc>
        <w:tc>
          <w:tcPr>
            <w:tcW w:w="770" w:type="pct"/>
            <w:noWrap/>
            <w:vAlign w:val="center"/>
            <w:hideMark/>
          </w:tcPr>
          <w:p w14:paraId="10CF2448"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$87.00 </w:t>
            </w:r>
          </w:p>
        </w:tc>
        <w:tc>
          <w:tcPr>
            <w:tcW w:w="889" w:type="pct"/>
            <w:noWrap/>
            <w:vAlign w:val="bottom"/>
            <w:hideMark/>
          </w:tcPr>
          <w:p w14:paraId="75AF8C3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$141.00</w:t>
            </w:r>
          </w:p>
        </w:tc>
      </w:tr>
      <w:tr w:rsidR="000353BE" w:rsidRPr="000353BE" w14:paraId="00E4648F" w14:textId="77777777" w:rsidTr="00A4341B">
        <w:trPr>
          <w:trHeight w:val="300"/>
        </w:trPr>
        <w:tc>
          <w:tcPr>
            <w:tcW w:w="1357" w:type="pct"/>
            <w:vMerge/>
            <w:vAlign w:val="center"/>
            <w:hideMark/>
          </w:tcPr>
          <w:p w14:paraId="2942B718"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7F76D4E7"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WDM</w:t>
            </w:r>
          </w:p>
        </w:tc>
        <w:tc>
          <w:tcPr>
            <w:tcW w:w="770" w:type="pct"/>
            <w:noWrap/>
            <w:vAlign w:val="center"/>
            <w:hideMark/>
          </w:tcPr>
          <w:p w14:paraId="0CD2A32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$87.00 </w:t>
            </w:r>
          </w:p>
        </w:tc>
        <w:tc>
          <w:tcPr>
            <w:tcW w:w="889" w:type="pct"/>
            <w:noWrap/>
            <w:vAlign w:val="bottom"/>
            <w:hideMark/>
          </w:tcPr>
          <w:p w14:paraId="07CA8F34"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$141.00</w:t>
            </w:r>
          </w:p>
        </w:tc>
      </w:tr>
      <w:tr w:rsidR="000353BE" w:rsidRPr="000353BE" w14:paraId="6BCA491D" w14:textId="77777777" w:rsidTr="00A4341B">
        <w:trPr>
          <w:trHeight w:val="300"/>
        </w:trPr>
        <w:tc>
          <w:tcPr>
            <w:tcW w:w="1357" w:type="pct"/>
            <w:vMerge/>
            <w:vAlign w:val="center"/>
            <w:hideMark/>
          </w:tcPr>
          <w:p w14:paraId="54F26AEF"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72FD3A60"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WDS</w:t>
            </w:r>
          </w:p>
        </w:tc>
        <w:tc>
          <w:tcPr>
            <w:tcW w:w="770" w:type="pct"/>
            <w:noWrap/>
            <w:vAlign w:val="center"/>
            <w:hideMark/>
          </w:tcPr>
          <w:p w14:paraId="77B55B39"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$87.00 </w:t>
            </w:r>
          </w:p>
        </w:tc>
        <w:tc>
          <w:tcPr>
            <w:tcW w:w="889" w:type="pct"/>
            <w:noWrap/>
            <w:vAlign w:val="bottom"/>
            <w:hideMark/>
          </w:tcPr>
          <w:p w14:paraId="03799EB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$141.00</w:t>
            </w:r>
          </w:p>
        </w:tc>
      </w:tr>
      <w:tr w:rsidR="000353BE" w:rsidRPr="000353BE" w14:paraId="06020CF1" w14:textId="77777777" w:rsidTr="00A4341B">
        <w:trPr>
          <w:trHeight w:val="300"/>
        </w:trPr>
        <w:tc>
          <w:tcPr>
            <w:tcW w:w="1357" w:type="pct"/>
            <w:vMerge/>
            <w:vAlign w:val="center"/>
            <w:hideMark/>
          </w:tcPr>
          <w:p w14:paraId="4A63C2B0"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7030BC2A"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CCS</w:t>
            </w:r>
          </w:p>
        </w:tc>
        <w:tc>
          <w:tcPr>
            <w:tcW w:w="770" w:type="pct"/>
            <w:noWrap/>
            <w:vAlign w:val="center"/>
            <w:hideMark/>
          </w:tcPr>
          <w:p w14:paraId="18AF9C7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$51.00 </w:t>
            </w:r>
          </w:p>
        </w:tc>
        <w:tc>
          <w:tcPr>
            <w:tcW w:w="889" w:type="pct"/>
            <w:noWrap/>
            <w:vAlign w:val="bottom"/>
            <w:hideMark/>
          </w:tcPr>
          <w:p w14:paraId="2412F307"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$83.00</w:t>
            </w:r>
          </w:p>
        </w:tc>
      </w:tr>
      <w:tr w:rsidR="000353BE" w:rsidRPr="000353BE" w14:paraId="4C58C63E" w14:textId="77777777" w:rsidTr="00A4341B">
        <w:trPr>
          <w:trHeight w:val="300"/>
        </w:trPr>
        <w:tc>
          <w:tcPr>
            <w:tcW w:w="1357" w:type="pct"/>
            <w:vMerge/>
            <w:vAlign w:val="center"/>
            <w:hideMark/>
          </w:tcPr>
          <w:p w14:paraId="17B73246"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6A106E29"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BAT</w:t>
            </w:r>
          </w:p>
        </w:tc>
        <w:tc>
          <w:tcPr>
            <w:tcW w:w="770" w:type="pct"/>
            <w:noWrap/>
            <w:vAlign w:val="center"/>
            <w:hideMark/>
          </w:tcPr>
          <w:p w14:paraId="135F06B8"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$51.00 </w:t>
            </w:r>
          </w:p>
        </w:tc>
        <w:tc>
          <w:tcPr>
            <w:tcW w:w="889" w:type="pct"/>
            <w:noWrap/>
            <w:vAlign w:val="bottom"/>
            <w:hideMark/>
          </w:tcPr>
          <w:p w14:paraId="3F9182EE"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$83.00</w:t>
            </w:r>
          </w:p>
        </w:tc>
      </w:tr>
      <w:tr w:rsidR="000353BE" w:rsidRPr="000353BE" w14:paraId="16F82231" w14:textId="77777777" w:rsidTr="00A4341B">
        <w:trPr>
          <w:trHeight w:val="300"/>
        </w:trPr>
        <w:tc>
          <w:tcPr>
            <w:tcW w:w="1357" w:type="pct"/>
            <w:vMerge/>
            <w:vAlign w:val="center"/>
            <w:hideMark/>
          </w:tcPr>
          <w:p w14:paraId="04BA13F1"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719BA8BD"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BTO</w:t>
            </w:r>
          </w:p>
        </w:tc>
        <w:tc>
          <w:tcPr>
            <w:tcW w:w="770" w:type="pct"/>
            <w:noWrap/>
            <w:vAlign w:val="center"/>
            <w:hideMark/>
          </w:tcPr>
          <w:p w14:paraId="7BA55098"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c>
          <w:tcPr>
            <w:tcW w:w="889" w:type="pct"/>
            <w:noWrap/>
            <w:vAlign w:val="center"/>
            <w:hideMark/>
          </w:tcPr>
          <w:p w14:paraId="1011D3D4"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r>
      <w:tr w:rsidR="000353BE" w:rsidRPr="000353BE" w14:paraId="6C370D5C" w14:textId="77777777" w:rsidTr="00A4341B">
        <w:trPr>
          <w:trHeight w:val="300"/>
        </w:trPr>
        <w:tc>
          <w:tcPr>
            <w:tcW w:w="1357" w:type="pct"/>
            <w:vMerge w:val="restart"/>
            <w:vAlign w:val="center"/>
            <w:hideMark/>
          </w:tcPr>
          <w:p w14:paraId="484471CA"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Application Fee By Reciprocity</w:t>
            </w:r>
          </w:p>
        </w:tc>
        <w:tc>
          <w:tcPr>
            <w:tcW w:w="1985" w:type="pct"/>
            <w:noWrap/>
            <w:vAlign w:val="center"/>
            <w:hideMark/>
          </w:tcPr>
          <w:p w14:paraId="04CE30DF"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WTPO</w:t>
            </w:r>
          </w:p>
        </w:tc>
        <w:tc>
          <w:tcPr>
            <w:tcW w:w="770" w:type="pct"/>
            <w:noWrap/>
            <w:vAlign w:val="center"/>
            <w:hideMark/>
          </w:tcPr>
          <w:p w14:paraId="7535905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177.00</w:t>
            </w:r>
          </w:p>
        </w:tc>
        <w:tc>
          <w:tcPr>
            <w:tcW w:w="889" w:type="pct"/>
            <w:noWrap/>
            <w:vAlign w:val="bottom"/>
            <w:hideMark/>
          </w:tcPr>
          <w:p w14:paraId="22EFFFDA"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$287.00</w:t>
            </w:r>
          </w:p>
        </w:tc>
      </w:tr>
      <w:tr w:rsidR="000353BE" w:rsidRPr="000353BE" w14:paraId="6554370C" w14:textId="77777777" w:rsidTr="00A4341B">
        <w:trPr>
          <w:trHeight w:val="300"/>
        </w:trPr>
        <w:tc>
          <w:tcPr>
            <w:tcW w:w="1357" w:type="pct"/>
            <w:vMerge/>
            <w:vAlign w:val="center"/>
            <w:hideMark/>
          </w:tcPr>
          <w:p w14:paraId="170860FC"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377D6004"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WDM</w:t>
            </w:r>
          </w:p>
        </w:tc>
        <w:tc>
          <w:tcPr>
            <w:tcW w:w="770" w:type="pct"/>
            <w:noWrap/>
            <w:vAlign w:val="center"/>
            <w:hideMark/>
          </w:tcPr>
          <w:p w14:paraId="5FD9435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177.00</w:t>
            </w:r>
          </w:p>
        </w:tc>
        <w:tc>
          <w:tcPr>
            <w:tcW w:w="889" w:type="pct"/>
            <w:noWrap/>
            <w:vAlign w:val="bottom"/>
            <w:hideMark/>
          </w:tcPr>
          <w:p w14:paraId="2CF8F177"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$287.00</w:t>
            </w:r>
          </w:p>
        </w:tc>
      </w:tr>
      <w:tr w:rsidR="000353BE" w:rsidRPr="000353BE" w14:paraId="587A1AB8" w14:textId="77777777" w:rsidTr="00A4341B">
        <w:trPr>
          <w:trHeight w:val="300"/>
        </w:trPr>
        <w:tc>
          <w:tcPr>
            <w:tcW w:w="1357" w:type="pct"/>
            <w:vMerge/>
            <w:vAlign w:val="center"/>
            <w:hideMark/>
          </w:tcPr>
          <w:p w14:paraId="6AD0B8E0"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64514A5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WDS</w:t>
            </w:r>
          </w:p>
        </w:tc>
        <w:tc>
          <w:tcPr>
            <w:tcW w:w="770" w:type="pct"/>
            <w:noWrap/>
            <w:vAlign w:val="center"/>
            <w:hideMark/>
          </w:tcPr>
          <w:p w14:paraId="1D9D7A8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177.00</w:t>
            </w:r>
          </w:p>
        </w:tc>
        <w:tc>
          <w:tcPr>
            <w:tcW w:w="889" w:type="pct"/>
            <w:noWrap/>
            <w:vAlign w:val="bottom"/>
            <w:hideMark/>
          </w:tcPr>
          <w:p w14:paraId="3D71F96A"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$287.00</w:t>
            </w:r>
          </w:p>
        </w:tc>
      </w:tr>
      <w:tr w:rsidR="000353BE" w:rsidRPr="000353BE" w14:paraId="3D99D279" w14:textId="77777777" w:rsidTr="00A4341B">
        <w:trPr>
          <w:trHeight w:val="300"/>
        </w:trPr>
        <w:tc>
          <w:tcPr>
            <w:tcW w:w="1357" w:type="pct"/>
            <w:vMerge/>
            <w:vAlign w:val="center"/>
            <w:hideMark/>
          </w:tcPr>
          <w:p w14:paraId="5F5FDC0F"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7B8A15C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CCS</w:t>
            </w:r>
          </w:p>
        </w:tc>
        <w:tc>
          <w:tcPr>
            <w:tcW w:w="770" w:type="pct"/>
            <w:noWrap/>
            <w:vAlign w:val="center"/>
            <w:hideMark/>
          </w:tcPr>
          <w:p w14:paraId="7B721D1A"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c>
          <w:tcPr>
            <w:tcW w:w="889" w:type="pct"/>
            <w:noWrap/>
            <w:vAlign w:val="center"/>
            <w:hideMark/>
          </w:tcPr>
          <w:p w14:paraId="63D35612"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r>
      <w:tr w:rsidR="000353BE" w:rsidRPr="000353BE" w14:paraId="0F6DC6C7" w14:textId="77777777" w:rsidTr="00A4341B">
        <w:trPr>
          <w:trHeight w:val="300"/>
        </w:trPr>
        <w:tc>
          <w:tcPr>
            <w:tcW w:w="1357" w:type="pct"/>
            <w:vMerge/>
            <w:vAlign w:val="center"/>
            <w:hideMark/>
          </w:tcPr>
          <w:p w14:paraId="512C2EF1"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2711BC3A"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BAT</w:t>
            </w:r>
          </w:p>
        </w:tc>
        <w:tc>
          <w:tcPr>
            <w:tcW w:w="770" w:type="pct"/>
            <w:noWrap/>
            <w:vAlign w:val="center"/>
            <w:hideMark/>
          </w:tcPr>
          <w:p w14:paraId="6E6ECD64"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c>
          <w:tcPr>
            <w:tcW w:w="889" w:type="pct"/>
            <w:noWrap/>
            <w:vAlign w:val="center"/>
            <w:hideMark/>
          </w:tcPr>
          <w:p w14:paraId="2BCA6ABE"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r>
      <w:tr w:rsidR="000353BE" w:rsidRPr="000353BE" w14:paraId="70326B60" w14:textId="77777777" w:rsidTr="00A4341B">
        <w:trPr>
          <w:trHeight w:val="300"/>
        </w:trPr>
        <w:tc>
          <w:tcPr>
            <w:tcW w:w="1357" w:type="pct"/>
            <w:vMerge/>
            <w:vAlign w:val="center"/>
            <w:hideMark/>
          </w:tcPr>
          <w:p w14:paraId="016F8C46"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2F6513F3"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BTO</w:t>
            </w:r>
          </w:p>
        </w:tc>
        <w:tc>
          <w:tcPr>
            <w:tcW w:w="770" w:type="pct"/>
            <w:noWrap/>
            <w:vAlign w:val="center"/>
            <w:hideMark/>
          </w:tcPr>
          <w:p w14:paraId="53BB25C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c>
          <w:tcPr>
            <w:tcW w:w="889" w:type="pct"/>
            <w:noWrap/>
            <w:vAlign w:val="center"/>
            <w:hideMark/>
          </w:tcPr>
          <w:p w14:paraId="4DA5E441"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r>
      <w:tr w:rsidR="000353BE" w:rsidRPr="000353BE" w14:paraId="7AB0ACB0" w14:textId="77777777" w:rsidTr="00A4341B">
        <w:trPr>
          <w:trHeight w:val="315"/>
        </w:trPr>
        <w:tc>
          <w:tcPr>
            <w:tcW w:w="1357" w:type="pct"/>
            <w:vMerge w:val="restart"/>
            <w:vAlign w:val="center"/>
            <w:hideMark/>
          </w:tcPr>
          <w:p w14:paraId="594E32F1"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Annual Renewal Fee</w:t>
            </w:r>
          </w:p>
        </w:tc>
        <w:tc>
          <w:tcPr>
            <w:tcW w:w="1985" w:type="pct"/>
            <w:noWrap/>
            <w:vAlign w:val="center"/>
            <w:hideMark/>
          </w:tcPr>
          <w:p w14:paraId="28052523"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WTPO</w:t>
            </w:r>
          </w:p>
        </w:tc>
        <w:tc>
          <w:tcPr>
            <w:tcW w:w="770" w:type="pct"/>
            <w:noWrap/>
            <w:vAlign w:val="center"/>
            <w:hideMark/>
          </w:tcPr>
          <w:p w14:paraId="686E8488"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$42.00</w:t>
            </w:r>
          </w:p>
        </w:tc>
        <w:tc>
          <w:tcPr>
            <w:tcW w:w="889" w:type="pct"/>
            <w:noWrap/>
            <w:vAlign w:val="bottom"/>
            <w:hideMark/>
          </w:tcPr>
          <w:p w14:paraId="72DF46EB"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$68.00</w:t>
            </w:r>
          </w:p>
        </w:tc>
      </w:tr>
      <w:tr w:rsidR="000353BE" w:rsidRPr="000353BE" w14:paraId="77E80525" w14:textId="77777777" w:rsidTr="00A4341B">
        <w:trPr>
          <w:trHeight w:val="420"/>
        </w:trPr>
        <w:tc>
          <w:tcPr>
            <w:tcW w:w="1357" w:type="pct"/>
            <w:vMerge/>
            <w:vAlign w:val="center"/>
            <w:hideMark/>
          </w:tcPr>
          <w:p w14:paraId="66DDDDF0"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68981FB8"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WDM</w:t>
            </w:r>
          </w:p>
        </w:tc>
        <w:tc>
          <w:tcPr>
            <w:tcW w:w="770" w:type="pct"/>
            <w:noWrap/>
            <w:vAlign w:val="center"/>
            <w:hideMark/>
          </w:tcPr>
          <w:p w14:paraId="2F05C663"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$42.00</w:t>
            </w:r>
          </w:p>
        </w:tc>
        <w:tc>
          <w:tcPr>
            <w:tcW w:w="889" w:type="pct"/>
            <w:noWrap/>
            <w:vAlign w:val="bottom"/>
            <w:hideMark/>
          </w:tcPr>
          <w:p w14:paraId="0B989710"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$68.00</w:t>
            </w:r>
          </w:p>
        </w:tc>
      </w:tr>
      <w:tr w:rsidR="000353BE" w:rsidRPr="000353BE" w14:paraId="2FF893AA" w14:textId="77777777" w:rsidTr="00A4341B">
        <w:trPr>
          <w:trHeight w:val="300"/>
        </w:trPr>
        <w:tc>
          <w:tcPr>
            <w:tcW w:w="1357" w:type="pct"/>
            <w:vMerge/>
            <w:vAlign w:val="center"/>
            <w:hideMark/>
          </w:tcPr>
          <w:p w14:paraId="1B1A4F75"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5B670E73"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WDS</w:t>
            </w:r>
          </w:p>
        </w:tc>
        <w:tc>
          <w:tcPr>
            <w:tcW w:w="770" w:type="pct"/>
            <w:noWrap/>
            <w:vAlign w:val="center"/>
            <w:hideMark/>
          </w:tcPr>
          <w:p w14:paraId="1BA22E8B"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$42.00</w:t>
            </w:r>
          </w:p>
        </w:tc>
        <w:tc>
          <w:tcPr>
            <w:tcW w:w="889" w:type="pct"/>
            <w:noWrap/>
            <w:vAlign w:val="bottom"/>
            <w:hideMark/>
          </w:tcPr>
          <w:p w14:paraId="37E03907"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$68.00</w:t>
            </w:r>
          </w:p>
        </w:tc>
      </w:tr>
      <w:tr w:rsidR="000353BE" w:rsidRPr="000353BE" w14:paraId="12A3AF27" w14:textId="77777777" w:rsidTr="00A4341B">
        <w:trPr>
          <w:trHeight w:val="300"/>
        </w:trPr>
        <w:tc>
          <w:tcPr>
            <w:tcW w:w="1357" w:type="pct"/>
            <w:vMerge/>
            <w:vAlign w:val="center"/>
            <w:hideMark/>
          </w:tcPr>
          <w:p w14:paraId="6E45BD97"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04874C16"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CCS</w:t>
            </w:r>
          </w:p>
        </w:tc>
        <w:tc>
          <w:tcPr>
            <w:tcW w:w="770" w:type="pct"/>
            <w:noWrap/>
            <w:vAlign w:val="center"/>
            <w:hideMark/>
          </w:tcPr>
          <w:p w14:paraId="557E8FC7"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$42.00</w:t>
            </w:r>
          </w:p>
        </w:tc>
        <w:tc>
          <w:tcPr>
            <w:tcW w:w="889" w:type="pct"/>
            <w:noWrap/>
            <w:vAlign w:val="bottom"/>
            <w:hideMark/>
          </w:tcPr>
          <w:p w14:paraId="735EB070"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$68.00</w:t>
            </w:r>
          </w:p>
        </w:tc>
      </w:tr>
      <w:tr w:rsidR="000353BE" w:rsidRPr="000353BE" w14:paraId="2C606DC4" w14:textId="77777777" w:rsidTr="00A4341B">
        <w:trPr>
          <w:trHeight w:val="300"/>
        </w:trPr>
        <w:tc>
          <w:tcPr>
            <w:tcW w:w="1357" w:type="pct"/>
            <w:vMerge/>
            <w:vAlign w:val="center"/>
            <w:hideMark/>
          </w:tcPr>
          <w:p w14:paraId="2C832564"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3E3E25F9"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BAT</w:t>
            </w:r>
          </w:p>
        </w:tc>
        <w:tc>
          <w:tcPr>
            <w:tcW w:w="770" w:type="pct"/>
            <w:noWrap/>
            <w:vAlign w:val="center"/>
            <w:hideMark/>
          </w:tcPr>
          <w:p w14:paraId="7143A79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$42.00</w:t>
            </w:r>
          </w:p>
        </w:tc>
        <w:tc>
          <w:tcPr>
            <w:tcW w:w="889" w:type="pct"/>
            <w:noWrap/>
            <w:vAlign w:val="bottom"/>
            <w:hideMark/>
          </w:tcPr>
          <w:p w14:paraId="4B80EF12"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$68.00</w:t>
            </w:r>
          </w:p>
        </w:tc>
      </w:tr>
      <w:tr w:rsidR="000353BE" w:rsidRPr="000353BE" w14:paraId="7A3FABD7" w14:textId="77777777" w:rsidTr="00A4341B">
        <w:trPr>
          <w:trHeight w:val="300"/>
        </w:trPr>
        <w:tc>
          <w:tcPr>
            <w:tcW w:w="1357" w:type="pct"/>
            <w:vMerge/>
            <w:vAlign w:val="center"/>
            <w:hideMark/>
          </w:tcPr>
          <w:p w14:paraId="0A5FC515"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1718780B"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BTO</w:t>
            </w:r>
          </w:p>
        </w:tc>
        <w:tc>
          <w:tcPr>
            <w:tcW w:w="770" w:type="pct"/>
            <w:noWrap/>
            <w:vAlign w:val="center"/>
            <w:hideMark/>
          </w:tcPr>
          <w:p w14:paraId="20C2076E"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$42.00</w:t>
            </w:r>
          </w:p>
        </w:tc>
        <w:tc>
          <w:tcPr>
            <w:tcW w:w="889" w:type="pct"/>
            <w:noWrap/>
            <w:vAlign w:val="bottom"/>
            <w:hideMark/>
          </w:tcPr>
          <w:p w14:paraId="4EA3BAB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$68.00</w:t>
            </w:r>
          </w:p>
        </w:tc>
      </w:tr>
      <w:tr w:rsidR="000353BE" w:rsidRPr="000353BE" w14:paraId="5B60F7E5" w14:textId="77777777" w:rsidTr="00A4341B">
        <w:trPr>
          <w:trHeight w:val="300"/>
        </w:trPr>
        <w:tc>
          <w:tcPr>
            <w:tcW w:w="1357" w:type="pct"/>
            <w:vMerge w:val="restart"/>
            <w:vAlign w:val="center"/>
            <w:hideMark/>
          </w:tcPr>
          <w:p w14:paraId="77B0465F"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Late Fee (Assessed for failure to submit the fee within the time period specified on the renewal form)</w:t>
            </w:r>
          </w:p>
        </w:tc>
        <w:tc>
          <w:tcPr>
            <w:tcW w:w="1985" w:type="pct"/>
            <w:noWrap/>
            <w:vAlign w:val="center"/>
            <w:hideMark/>
          </w:tcPr>
          <w:p w14:paraId="4088A0AD"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WTPO</w:t>
            </w:r>
          </w:p>
        </w:tc>
        <w:tc>
          <w:tcPr>
            <w:tcW w:w="770" w:type="pct"/>
            <w:noWrap/>
            <w:vAlign w:val="center"/>
            <w:hideMark/>
          </w:tcPr>
          <w:p w14:paraId="5488D18E"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$35.00</w:t>
            </w:r>
          </w:p>
        </w:tc>
        <w:tc>
          <w:tcPr>
            <w:tcW w:w="889" w:type="pct"/>
            <w:noWrap/>
            <w:vAlign w:val="bottom"/>
            <w:hideMark/>
          </w:tcPr>
          <w:p w14:paraId="1FDC241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$57.00</w:t>
            </w:r>
          </w:p>
        </w:tc>
      </w:tr>
      <w:tr w:rsidR="000353BE" w:rsidRPr="000353BE" w14:paraId="6116ED87" w14:textId="77777777" w:rsidTr="00A4341B">
        <w:trPr>
          <w:trHeight w:val="300"/>
        </w:trPr>
        <w:tc>
          <w:tcPr>
            <w:tcW w:w="1357" w:type="pct"/>
            <w:vMerge/>
            <w:vAlign w:val="center"/>
            <w:hideMark/>
          </w:tcPr>
          <w:p w14:paraId="3212E3DC"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19BC365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WDM</w:t>
            </w:r>
          </w:p>
        </w:tc>
        <w:tc>
          <w:tcPr>
            <w:tcW w:w="770" w:type="pct"/>
            <w:noWrap/>
            <w:vAlign w:val="center"/>
            <w:hideMark/>
          </w:tcPr>
          <w:p w14:paraId="647D1253"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$35.00</w:t>
            </w:r>
          </w:p>
        </w:tc>
        <w:tc>
          <w:tcPr>
            <w:tcW w:w="889" w:type="pct"/>
            <w:noWrap/>
            <w:vAlign w:val="bottom"/>
            <w:hideMark/>
          </w:tcPr>
          <w:p w14:paraId="2D34E3E1"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$57.00</w:t>
            </w:r>
          </w:p>
        </w:tc>
      </w:tr>
      <w:tr w:rsidR="000353BE" w:rsidRPr="000353BE" w14:paraId="7A5F3CCB" w14:textId="77777777" w:rsidTr="00A4341B">
        <w:trPr>
          <w:trHeight w:val="300"/>
        </w:trPr>
        <w:tc>
          <w:tcPr>
            <w:tcW w:w="1357" w:type="pct"/>
            <w:vMerge/>
            <w:vAlign w:val="center"/>
            <w:hideMark/>
          </w:tcPr>
          <w:p w14:paraId="47A33620"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5B603A8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WDS</w:t>
            </w:r>
          </w:p>
        </w:tc>
        <w:tc>
          <w:tcPr>
            <w:tcW w:w="770" w:type="pct"/>
            <w:noWrap/>
            <w:vAlign w:val="center"/>
            <w:hideMark/>
          </w:tcPr>
          <w:p w14:paraId="15B2ED4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$35.00</w:t>
            </w:r>
          </w:p>
        </w:tc>
        <w:tc>
          <w:tcPr>
            <w:tcW w:w="889" w:type="pct"/>
            <w:noWrap/>
            <w:vAlign w:val="bottom"/>
            <w:hideMark/>
          </w:tcPr>
          <w:p w14:paraId="0C462752"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$57.00</w:t>
            </w:r>
          </w:p>
        </w:tc>
      </w:tr>
      <w:tr w:rsidR="000353BE" w:rsidRPr="000353BE" w14:paraId="28B1C866" w14:textId="77777777" w:rsidTr="00A4341B">
        <w:trPr>
          <w:trHeight w:val="300"/>
        </w:trPr>
        <w:tc>
          <w:tcPr>
            <w:tcW w:w="1357" w:type="pct"/>
            <w:vMerge/>
            <w:vAlign w:val="center"/>
            <w:hideMark/>
          </w:tcPr>
          <w:p w14:paraId="32AC26F1"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115EB44F"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CCS</w:t>
            </w:r>
          </w:p>
        </w:tc>
        <w:tc>
          <w:tcPr>
            <w:tcW w:w="770" w:type="pct"/>
            <w:noWrap/>
            <w:vAlign w:val="center"/>
            <w:hideMark/>
          </w:tcPr>
          <w:p w14:paraId="7937FC7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$35.00</w:t>
            </w:r>
          </w:p>
        </w:tc>
        <w:tc>
          <w:tcPr>
            <w:tcW w:w="889" w:type="pct"/>
            <w:noWrap/>
            <w:vAlign w:val="bottom"/>
            <w:hideMark/>
          </w:tcPr>
          <w:p w14:paraId="73DE0D51"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$57.00</w:t>
            </w:r>
          </w:p>
        </w:tc>
      </w:tr>
      <w:tr w:rsidR="000353BE" w:rsidRPr="000353BE" w14:paraId="293FB8D6" w14:textId="77777777" w:rsidTr="00A4341B">
        <w:trPr>
          <w:trHeight w:val="300"/>
        </w:trPr>
        <w:tc>
          <w:tcPr>
            <w:tcW w:w="1357" w:type="pct"/>
            <w:vMerge/>
            <w:vAlign w:val="center"/>
            <w:hideMark/>
          </w:tcPr>
          <w:p w14:paraId="4761C127"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0C3BD5AE"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BAT</w:t>
            </w:r>
          </w:p>
        </w:tc>
        <w:tc>
          <w:tcPr>
            <w:tcW w:w="770" w:type="pct"/>
            <w:noWrap/>
            <w:vAlign w:val="center"/>
            <w:hideMark/>
          </w:tcPr>
          <w:p w14:paraId="6E8125E3"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$35.00</w:t>
            </w:r>
          </w:p>
        </w:tc>
        <w:tc>
          <w:tcPr>
            <w:tcW w:w="889" w:type="pct"/>
            <w:noWrap/>
            <w:vAlign w:val="bottom"/>
            <w:hideMark/>
          </w:tcPr>
          <w:p w14:paraId="6B975FB6"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$57.00</w:t>
            </w:r>
          </w:p>
        </w:tc>
      </w:tr>
      <w:tr w:rsidR="000353BE" w:rsidRPr="000353BE" w14:paraId="5BBCE5DF" w14:textId="77777777" w:rsidTr="00A4341B">
        <w:trPr>
          <w:trHeight w:val="300"/>
        </w:trPr>
        <w:tc>
          <w:tcPr>
            <w:tcW w:w="1357" w:type="pct"/>
            <w:vMerge/>
            <w:vAlign w:val="center"/>
            <w:hideMark/>
          </w:tcPr>
          <w:p w14:paraId="0CA2BCFE"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5A39082E"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BTO</w:t>
            </w:r>
          </w:p>
        </w:tc>
        <w:tc>
          <w:tcPr>
            <w:tcW w:w="770" w:type="pct"/>
            <w:noWrap/>
            <w:vAlign w:val="center"/>
            <w:hideMark/>
          </w:tcPr>
          <w:p w14:paraId="58FBB77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$35.00</w:t>
            </w:r>
          </w:p>
        </w:tc>
        <w:tc>
          <w:tcPr>
            <w:tcW w:w="889" w:type="pct"/>
            <w:noWrap/>
            <w:vAlign w:val="bottom"/>
            <w:hideMark/>
          </w:tcPr>
          <w:p w14:paraId="4BBAE3AB"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$57.00</w:t>
            </w:r>
          </w:p>
        </w:tc>
      </w:tr>
      <w:tr w:rsidR="000353BE" w:rsidRPr="000353BE" w14:paraId="2FE82435" w14:textId="77777777" w:rsidTr="00A4341B">
        <w:trPr>
          <w:trHeight w:val="300"/>
        </w:trPr>
        <w:tc>
          <w:tcPr>
            <w:tcW w:w="5000" w:type="pct"/>
            <w:gridSpan w:val="4"/>
            <w:noWrap/>
            <w:vAlign w:val="center"/>
            <w:hideMark/>
          </w:tcPr>
          <w:p w14:paraId="78CB722D"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Public Water System Annual Certification Fees</w:t>
            </w:r>
          </w:p>
        </w:tc>
      </w:tr>
      <w:tr w:rsidR="000353BE" w:rsidRPr="000353BE" w14:paraId="315CBA56" w14:textId="77777777" w:rsidTr="00A4341B">
        <w:trPr>
          <w:trHeight w:val="915"/>
        </w:trPr>
        <w:tc>
          <w:tcPr>
            <w:tcW w:w="1357" w:type="pct"/>
            <w:vMerge w:val="restart"/>
            <w:vAlign w:val="center"/>
            <w:hideMark/>
          </w:tcPr>
          <w:p w14:paraId="77C1C278"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Public Water System Certification Fee</w:t>
            </w:r>
          </w:p>
        </w:tc>
        <w:tc>
          <w:tcPr>
            <w:tcW w:w="1985" w:type="pct"/>
            <w:vAlign w:val="center"/>
            <w:hideMark/>
          </w:tcPr>
          <w:p w14:paraId="5F4E5ECB"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Public Water System Size</w:t>
            </w:r>
            <w:r w:rsidRPr="000353BE">
              <w:rPr>
                <w:b/>
                <w:bCs/>
                <w:kern w:val="0"/>
                <w:sz w:val="22"/>
                <w:szCs w:val="22"/>
                <w14:ligatures w14:val="none"/>
                <w14:cntxtAlts w14:val="0"/>
              </w:rPr>
              <w:br/>
              <w:t>(Number of Service Connections on WFI form)</w:t>
            </w:r>
          </w:p>
        </w:tc>
        <w:tc>
          <w:tcPr>
            <w:tcW w:w="770" w:type="pct"/>
            <w:noWrap/>
            <w:vAlign w:val="bottom"/>
            <w:hideMark/>
          </w:tcPr>
          <w:p w14:paraId="5C976C7C"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Current Fee</w:t>
            </w:r>
          </w:p>
        </w:tc>
        <w:tc>
          <w:tcPr>
            <w:tcW w:w="889" w:type="pct"/>
            <w:noWrap/>
            <w:vAlign w:val="bottom"/>
            <w:hideMark/>
          </w:tcPr>
          <w:p w14:paraId="3829A99D"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Proposed Fee</w:t>
            </w:r>
          </w:p>
        </w:tc>
      </w:tr>
      <w:tr w:rsidR="000353BE" w:rsidRPr="000353BE" w14:paraId="024B65CB" w14:textId="77777777" w:rsidTr="00A4341B">
        <w:trPr>
          <w:trHeight w:val="300"/>
        </w:trPr>
        <w:tc>
          <w:tcPr>
            <w:tcW w:w="1357" w:type="pct"/>
            <w:vMerge/>
            <w:vAlign w:val="center"/>
            <w:hideMark/>
          </w:tcPr>
          <w:p w14:paraId="4D6547F6"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41869696"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Less than 601</w:t>
            </w:r>
          </w:p>
        </w:tc>
        <w:tc>
          <w:tcPr>
            <w:tcW w:w="770" w:type="pct"/>
            <w:noWrap/>
            <w:vAlign w:val="center"/>
            <w:hideMark/>
          </w:tcPr>
          <w:p w14:paraId="634BD9BF"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$132.00 </w:t>
            </w:r>
          </w:p>
        </w:tc>
        <w:tc>
          <w:tcPr>
            <w:tcW w:w="889" w:type="pct"/>
            <w:noWrap/>
            <w:vAlign w:val="bottom"/>
            <w:hideMark/>
          </w:tcPr>
          <w:p w14:paraId="6FED6BBF"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$214.00</w:t>
            </w:r>
          </w:p>
        </w:tc>
      </w:tr>
      <w:tr w:rsidR="000353BE" w:rsidRPr="000353BE" w14:paraId="72118532" w14:textId="77777777" w:rsidTr="00A4341B">
        <w:trPr>
          <w:trHeight w:val="300"/>
        </w:trPr>
        <w:tc>
          <w:tcPr>
            <w:tcW w:w="1357" w:type="pct"/>
            <w:vMerge/>
            <w:vAlign w:val="center"/>
            <w:hideMark/>
          </w:tcPr>
          <w:p w14:paraId="218CC356"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302E82A0"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601 through 6,000</w:t>
            </w:r>
          </w:p>
        </w:tc>
        <w:tc>
          <w:tcPr>
            <w:tcW w:w="770" w:type="pct"/>
            <w:noWrap/>
            <w:vAlign w:val="center"/>
            <w:hideMark/>
          </w:tcPr>
          <w:p w14:paraId="03561071"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$403.00 </w:t>
            </w:r>
          </w:p>
        </w:tc>
        <w:tc>
          <w:tcPr>
            <w:tcW w:w="889" w:type="pct"/>
            <w:noWrap/>
            <w:vAlign w:val="bottom"/>
            <w:hideMark/>
          </w:tcPr>
          <w:p w14:paraId="17C16A23"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$653.00</w:t>
            </w:r>
          </w:p>
        </w:tc>
      </w:tr>
      <w:tr w:rsidR="000353BE" w:rsidRPr="000353BE" w14:paraId="69202655" w14:textId="77777777" w:rsidTr="00A4341B">
        <w:trPr>
          <w:trHeight w:val="300"/>
        </w:trPr>
        <w:tc>
          <w:tcPr>
            <w:tcW w:w="1357" w:type="pct"/>
            <w:vMerge/>
            <w:vAlign w:val="center"/>
            <w:hideMark/>
          </w:tcPr>
          <w:p w14:paraId="252FD01E"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364FD99A"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6,001 through 20,000</w:t>
            </w:r>
          </w:p>
        </w:tc>
        <w:tc>
          <w:tcPr>
            <w:tcW w:w="770" w:type="pct"/>
            <w:noWrap/>
            <w:vAlign w:val="center"/>
            <w:hideMark/>
          </w:tcPr>
          <w:p w14:paraId="305BC67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$536.00 </w:t>
            </w:r>
          </w:p>
        </w:tc>
        <w:tc>
          <w:tcPr>
            <w:tcW w:w="889" w:type="pct"/>
            <w:noWrap/>
            <w:vAlign w:val="bottom"/>
            <w:hideMark/>
          </w:tcPr>
          <w:p w14:paraId="4BD9445B"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$868.00</w:t>
            </w:r>
          </w:p>
        </w:tc>
      </w:tr>
      <w:tr w:rsidR="000353BE" w:rsidRPr="000353BE" w14:paraId="16134821" w14:textId="77777777" w:rsidTr="00A4341B">
        <w:trPr>
          <w:trHeight w:val="300"/>
        </w:trPr>
        <w:tc>
          <w:tcPr>
            <w:tcW w:w="1357" w:type="pct"/>
            <w:vMerge/>
            <w:vAlign w:val="center"/>
            <w:hideMark/>
          </w:tcPr>
          <w:p w14:paraId="116B6B77"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61066CE0"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More than 20,000</w:t>
            </w:r>
          </w:p>
        </w:tc>
        <w:tc>
          <w:tcPr>
            <w:tcW w:w="770" w:type="pct"/>
            <w:noWrap/>
            <w:vAlign w:val="center"/>
            <w:hideMark/>
          </w:tcPr>
          <w:p w14:paraId="4E8BB380"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 xml:space="preserve">$809.00 </w:t>
            </w:r>
          </w:p>
        </w:tc>
        <w:tc>
          <w:tcPr>
            <w:tcW w:w="889" w:type="pct"/>
            <w:noWrap/>
            <w:vAlign w:val="bottom"/>
            <w:hideMark/>
          </w:tcPr>
          <w:p w14:paraId="60722571"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$1,311.00</w:t>
            </w:r>
          </w:p>
        </w:tc>
      </w:tr>
      <w:tr w:rsidR="000353BE" w:rsidRPr="000353BE" w14:paraId="52D00F32" w14:textId="77777777" w:rsidTr="00A4341B">
        <w:trPr>
          <w:trHeight w:val="300"/>
        </w:trPr>
        <w:tc>
          <w:tcPr>
            <w:tcW w:w="1357" w:type="pct"/>
            <w:vMerge/>
            <w:vAlign w:val="center"/>
            <w:hideMark/>
          </w:tcPr>
          <w:p w14:paraId="7CC2D8ED"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bottom"/>
            <w:hideMark/>
          </w:tcPr>
          <w:p w14:paraId="5A08EC1D"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Temporary Certification fee</w:t>
            </w:r>
          </w:p>
        </w:tc>
        <w:tc>
          <w:tcPr>
            <w:tcW w:w="770" w:type="pct"/>
            <w:noWrap/>
            <w:vAlign w:val="center"/>
            <w:hideMark/>
          </w:tcPr>
          <w:p w14:paraId="235703A8"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$87.00</w:t>
            </w:r>
          </w:p>
        </w:tc>
        <w:tc>
          <w:tcPr>
            <w:tcW w:w="889" w:type="pct"/>
            <w:noWrap/>
            <w:vAlign w:val="bottom"/>
            <w:hideMark/>
          </w:tcPr>
          <w:p w14:paraId="5C3405D1"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$141.00</w:t>
            </w:r>
          </w:p>
        </w:tc>
      </w:tr>
      <w:tr w:rsidR="000353BE" w:rsidRPr="000353BE" w14:paraId="69053171" w14:textId="77777777" w:rsidTr="00A4341B">
        <w:trPr>
          <w:trHeight w:val="300"/>
        </w:trPr>
        <w:tc>
          <w:tcPr>
            <w:tcW w:w="1357" w:type="pct"/>
            <w:vMerge w:val="restart"/>
            <w:vAlign w:val="center"/>
            <w:hideMark/>
          </w:tcPr>
          <w:p w14:paraId="12E3DD10" w14:textId="77777777" w:rsidR="000353BE" w:rsidRPr="000353BE" w:rsidRDefault="000353BE" w:rsidP="000353BE">
            <w:pPr>
              <w:spacing w:after="0" w:line="240" w:lineRule="auto"/>
              <w:jc w:val="center"/>
              <w:rPr>
                <w:b/>
                <w:bCs/>
                <w:kern w:val="0"/>
                <w:sz w:val="22"/>
                <w:szCs w:val="22"/>
                <w14:ligatures w14:val="none"/>
                <w14:cntxtAlts w14:val="0"/>
              </w:rPr>
            </w:pPr>
            <w:r w:rsidRPr="000353BE">
              <w:rPr>
                <w:b/>
                <w:bCs/>
                <w:kern w:val="0"/>
                <w:sz w:val="22"/>
                <w:szCs w:val="22"/>
                <w14:ligatures w14:val="none"/>
                <w14:cntxtAlts w14:val="0"/>
              </w:rPr>
              <w:t>Late Fee</w:t>
            </w:r>
          </w:p>
        </w:tc>
        <w:tc>
          <w:tcPr>
            <w:tcW w:w="1985" w:type="pct"/>
            <w:noWrap/>
            <w:vAlign w:val="center"/>
            <w:hideMark/>
          </w:tcPr>
          <w:p w14:paraId="4AA477DE"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Less than 601</w:t>
            </w:r>
          </w:p>
        </w:tc>
        <w:tc>
          <w:tcPr>
            <w:tcW w:w="770" w:type="pct"/>
            <w:noWrap/>
            <w:vAlign w:val="center"/>
            <w:hideMark/>
          </w:tcPr>
          <w:p w14:paraId="22975D50"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$35.00</w:t>
            </w:r>
          </w:p>
        </w:tc>
        <w:tc>
          <w:tcPr>
            <w:tcW w:w="889" w:type="pct"/>
            <w:noWrap/>
            <w:vAlign w:val="bottom"/>
            <w:hideMark/>
          </w:tcPr>
          <w:p w14:paraId="23E37B7D"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$57.00</w:t>
            </w:r>
          </w:p>
        </w:tc>
      </w:tr>
      <w:tr w:rsidR="000353BE" w:rsidRPr="000353BE" w14:paraId="1C978ABE" w14:textId="77777777" w:rsidTr="00A4341B">
        <w:trPr>
          <w:trHeight w:val="300"/>
        </w:trPr>
        <w:tc>
          <w:tcPr>
            <w:tcW w:w="1357" w:type="pct"/>
            <w:vMerge/>
            <w:vAlign w:val="center"/>
            <w:hideMark/>
          </w:tcPr>
          <w:p w14:paraId="07469D63"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3B109091"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601 through 6,000</w:t>
            </w:r>
          </w:p>
        </w:tc>
        <w:tc>
          <w:tcPr>
            <w:tcW w:w="770" w:type="pct"/>
            <w:noWrap/>
            <w:vAlign w:val="center"/>
            <w:hideMark/>
          </w:tcPr>
          <w:p w14:paraId="0586EDF6"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$40.30</w:t>
            </w:r>
          </w:p>
        </w:tc>
        <w:tc>
          <w:tcPr>
            <w:tcW w:w="889" w:type="pct"/>
            <w:noWrap/>
            <w:vAlign w:val="bottom"/>
            <w:hideMark/>
          </w:tcPr>
          <w:p w14:paraId="24639D5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$65.00</w:t>
            </w:r>
          </w:p>
        </w:tc>
      </w:tr>
      <w:tr w:rsidR="000353BE" w:rsidRPr="000353BE" w14:paraId="34832E70" w14:textId="77777777" w:rsidTr="00A4341B">
        <w:trPr>
          <w:trHeight w:val="300"/>
        </w:trPr>
        <w:tc>
          <w:tcPr>
            <w:tcW w:w="1357" w:type="pct"/>
            <w:vMerge/>
            <w:vAlign w:val="center"/>
            <w:hideMark/>
          </w:tcPr>
          <w:p w14:paraId="7CB24BB9"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5F0FFAF5"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6,001 through 20,000</w:t>
            </w:r>
          </w:p>
        </w:tc>
        <w:tc>
          <w:tcPr>
            <w:tcW w:w="770" w:type="pct"/>
            <w:noWrap/>
            <w:vAlign w:val="center"/>
            <w:hideMark/>
          </w:tcPr>
          <w:p w14:paraId="031B6180"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$53.60</w:t>
            </w:r>
          </w:p>
        </w:tc>
        <w:tc>
          <w:tcPr>
            <w:tcW w:w="889" w:type="pct"/>
            <w:noWrap/>
            <w:vAlign w:val="bottom"/>
            <w:hideMark/>
          </w:tcPr>
          <w:p w14:paraId="4C780C78"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$87.00</w:t>
            </w:r>
          </w:p>
        </w:tc>
      </w:tr>
      <w:tr w:rsidR="000353BE" w:rsidRPr="000353BE" w14:paraId="3E780ECA" w14:textId="77777777" w:rsidTr="00A4341B">
        <w:trPr>
          <w:trHeight w:val="300"/>
        </w:trPr>
        <w:tc>
          <w:tcPr>
            <w:tcW w:w="1357" w:type="pct"/>
            <w:vMerge/>
            <w:vAlign w:val="center"/>
            <w:hideMark/>
          </w:tcPr>
          <w:p w14:paraId="27995D2D"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center"/>
            <w:hideMark/>
          </w:tcPr>
          <w:p w14:paraId="41983CB2"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More than 20,000</w:t>
            </w:r>
          </w:p>
        </w:tc>
        <w:tc>
          <w:tcPr>
            <w:tcW w:w="770" w:type="pct"/>
            <w:noWrap/>
            <w:vAlign w:val="center"/>
            <w:hideMark/>
          </w:tcPr>
          <w:p w14:paraId="085D5F18"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$80.90</w:t>
            </w:r>
          </w:p>
        </w:tc>
        <w:tc>
          <w:tcPr>
            <w:tcW w:w="889" w:type="pct"/>
            <w:noWrap/>
            <w:vAlign w:val="bottom"/>
            <w:hideMark/>
          </w:tcPr>
          <w:p w14:paraId="0115DAD0"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$131.00</w:t>
            </w:r>
          </w:p>
        </w:tc>
      </w:tr>
      <w:tr w:rsidR="000353BE" w:rsidRPr="000353BE" w14:paraId="7A73422B" w14:textId="77777777" w:rsidTr="00A4341B">
        <w:trPr>
          <w:trHeight w:val="300"/>
        </w:trPr>
        <w:tc>
          <w:tcPr>
            <w:tcW w:w="1357" w:type="pct"/>
            <w:vMerge/>
            <w:vAlign w:val="center"/>
            <w:hideMark/>
          </w:tcPr>
          <w:p w14:paraId="1EDC4230" w14:textId="77777777" w:rsidR="000353BE" w:rsidRPr="000353BE" w:rsidRDefault="000353BE" w:rsidP="000353BE">
            <w:pPr>
              <w:spacing w:after="0" w:line="240" w:lineRule="auto"/>
              <w:rPr>
                <w:b/>
                <w:bCs/>
                <w:kern w:val="0"/>
                <w:sz w:val="22"/>
                <w:szCs w:val="22"/>
                <w14:ligatures w14:val="none"/>
                <w14:cntxtAlts w14:val="0"/>
              </w:rPr>
            </w:pPr>
          </w:p>
        </w:tc>
        <w:tc>
          <w:tcPr>
            <w:tcW w:w="1985" w:type="pct"/>
            <w:noWrap/>
            <w:vAlign w:val="bottom"/>
            <w:hideMark/>
          </w:tcPr>
          <w:p w14:paraId="02E3F279"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Temporary Certification fee</w:t>
            </w:r>
          </w:p>
        </w:tc>
        <w:tc>
          <w:tcPr>
            <w:tcW w:w="770" w:type="pct"/>
            <w:noWrap/>
            <w:vAlign w:val="bottom"/>
            <w:hideMark/>
          </w:tcPr>
          <w:p w14:paraId="7DD9C6EC"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c>
          <w:tcPr>
            <w:tcW w:w="889" w:type="pct"/>
            <w:noWrap/>
            <w:vAlign w:val="bottom"/>
            <w:hideMark/>
          </w:tcPr>
          <w:p w14:paraId="26B14A11" w14:textId="77777777" w:rsidR="000353BE" w:rsidRPr="000353BE" w:rsidRDefault="000353BE" w:rsidP="000353BE">
            <w:pPr>
              <w:spacing w:after="0" w:line="240" w:lineRule="auto"/>
              <w:jc w:val="center"/>
              <w:rPr>
                <w:kern w:val="0"/>
                <w:sz w:val="22"/>
                <w:szCs w:val="22"/>
                <w14:ligatures w14:val="none"/>
                <w14:cntxtAlts w14:val="0"/>
              </w:rPr>
            </w:pPr>
            <w:r w:rsidRPr="000353BE">
              <w:rPr>
                <w:kern w:val="0"/>
                <w:sz w:val="22"/>
                <w:szCs w:val="22"/>
                <w14:ligatures w14:val="none"/>
                <w14:cntxtAlts w14:val="0"/>
              </w:rPr>
              <w:t>NA</w:t>
            </w:r>
          </w:p>
        </w:tc>
      </w:tr>
    </w:tbl>
    <w:p w14:paraId="70A7FAAE" w14:textId="41B984FC" w:rsidR="00092C86" w:rsidRPr="00873551" w:rsidRDefault="00092C86" w:rsidP="00092C86">
      <w:pPr>
        <w:rPr>
          <w:sz w:val="22"/>
          <w:szCs w:val="22"/>
        </w:rPr>
      </w:pPr>
    </w:p>
    <w:p w14:paraId="4C77A39F" w14:textId="60534E2F" w:rsidR="00D0766A" w:rsidRDefault="00D0766A" w:rsidP="00D0766A">
      <w:pPr>
        <w:mirrorIndents/>
        <w:rPr>
          <w:sz w:val="22"/>
          <w:szCs w:val="22"/>
        </w:rPr>
      </w:pPr>
      <w:r w:rsidRPr="7ECDAC8B">
        <w:rPr>
          <w:sz w:val="22"/>
          <w:szCs w:val="22"/>
        </w:rPr>
        <w:t xml:space="preserve">This proposal allows the Department to </w:t>
      </w:r>
      <w:r w:rsidR="00E90A47">
        <w:rPr>
          <w:sz w:val="22"/>
          <w:szCs w:val="22"/>
        </w:rPr>
        <w:t xml:space="preserve">increase </w:t>
      </w:r>
      <w:r w:rsidRPr="7ECDAC8B">
        <w:rPr>
          <w:sz w:val="22"/>
          <w:szCs w:val="22"/>
        </w:rPr>
        <w:t>cover</w:t>
      </w:r>
      <w:r w:rsidR="00E90A47">
        <w:rPr>
          <w:sz w:val="22"/>
          <w:szCs w:val="22"/>
        </w:rPr>
        <w:t>age of</w:t>
      </w:r>
      <w:r w:rsidRPr="7ECDAC8B">
        <w:rPr>
          <w:sz w:val="22"/>
          <w:szCs w:val="22"/>
        </w:rPr>
        <w:t xml:space="preserve"> the </w:t>
      </w:r>
      <w:r w:rsidR="00AD716B" w:rsidRPr="00AD716B">
        <w:rPr>
          <w:sz w:val="22"/>
          <w:szCs w:val="22"/>
        </w:rPr>
        <w:t xml:space="preserve">Certified Operator and Public Water System Certification Fees </w:t>
      </w:r>
      <w:r w:rsidRPr="7ECDAC8B">
        <w:rPr>
          <w:sz w:val="22"/>
          <w:szCs w:val="22"/>
        </w:rPr>
        <w:t xml:space="preserve">program expenditures and </w:t>
      </w:r>
      <w:r>
        <w:rPr>
          <w:sz w:val="22"/>
          <w:szCs w:val="22"/>
        </w:rPr>
        <w:t>sustain</w:t>
      </w:r>
      <w:r w:rsidRPr="7ECDAC8B">
        <w:rPr>
          <w:sz w:val="22"/>
          <w:szCs w:val="22"/>
        </w:rPr>
        <w:t xml:space="preserve"> the program’s fee balance</w:t>
      </w:r>
      <w:r w:rsidR="0026028D">
        <w:rPr>
          <w:sz w:val="22"/>
          <w:szCs w:val="22"/>
        </w:rPr>
        <w:t xml:space="preserve"> for longer</w:t>
      </w:r>
      <w:r>
        <w:rPr>
          <w:sz w:val="22"/>
          <w:szCs w:val="22"/>
        </w:rPr>
        <w:t>.</w:t>
      </w:r>
      <w:r w:rsidRPr="7ECDAC8B">
        <w:rPr>
          <w:sz w:val="22"/>
          <w:szCs w:val="22"/>
        </w:rPr>
        <w:t xml:space="preserve"> </w:t>
      </w:r>
    </w:p>
    <w:p w14:paraId="5C3B3B8A" w14:textId="77777777" w:rsidR="00B4197F" w:rsidRDefault="00D0766A" w:rsidP="00D0766A">
      <w:pPr>
        <w:mirrorIndents/>
        <w:rPr>
          <w:noProof/>
          <w14:ligatures w14:val="none"/>
          <w14:cntxtAlts w14:val="0"/>
        </w:rPr>
      </w:pPr>
      <w:r w:rsidRPr="7ECDAC8B">
        <w:rPr>
          <w:sz w:val="22"/>
          <w:szCs w:val="22"/>
        </w:rPr>
        <w:t>The chart below shows actual and projected revenue and expenditures for current and proposed fees from FY 2019 through FY 2031.</w:t>
      </w:r>
      <w:r w:rsidR="00127E44" w:rsidRPr="00127E44">
        <w:rPr>
          <w:noProof/>
          <w14:ligatures w14:val="none"/>
          <w14:cntxtAlts w14:val="0"/>
        </w:rPr>
        <w:t xml:space="preserve"> </w:t>
      </w:r>
    </w:p>
    <w:p w14:paraId="07DD03E6" w14:textId="7057328D" w:rsidR="00092C86" w:rsidRPr="008C181A" w:rsidRDefault="00127E44" w:rsidP="00D0766A">
      <w:pPr>
        <w:mirrorIndents/>
        <w:rPr>
          <w:vanish/>
          <w:sz w:val="22"/>
          <w:szCs w:val="22"/>
          <w:specVanish/>
        </w:rPr>
      </w:pPr>
      <w:r w:rsidRPr="00127E44">
        <w:rPr>
          <w:noProof/>
          <w:sz w:val="22"/>
          <w:szCs w:val="22"/>
        </w:rPr>
        <w:lastRenderedPageBreak/>
        <w:drawing>
          <wp:inline distT="0" distB="0" distL="0" distR="0" wp14:anchorId="23E609DF" wp14:editId="56547E68">
            <wp:extent cx="5943600" cy="3136900"/>
            <wp:effectExtent l="0" t="0" r="0" b="6350"/>
            <wp:docPr id="1121066720"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066720" name="Picture 1" descr="Chart&#10;&#10;AI-generated content may be incorrect."/>
                    <pic:cNvPicPr/>
                  </pic:nvPicPr>
                  <pic:blipFill>
                    <a:blip r:embed="rId27"/>
                    <a:stretch>
                      <a:fillRect/>
                    </a:stretch>
                  </pic:blipFill>
                  <pic:spPr>
                    <a:xfrm>
                      <a:off x="0" y="0"/>
                      <a:ext cx="5943600" cy="3136900"/>
                    </a:xfrm>
                    <a:prstGeom prst="rect">
                      <a:avLst/>
                    </a:prstGeom>
                  </pic:spPr>
                </pic:pic>
              </a:graphicData>
            </a:graphic>
          </wp:inline>
        </w:drawing>
      </w:r>
      <w:r w:rsidR="00D0766A">
        <w:rPr>
          <w:sz w:val="22"/>
          <w:szCs w:val="22"/>
        </w:rPr>
        <w:t xml:space="preserve"> </w:t>
      </w:r>
    </w:p>
    <w:p w14:paraId="64F7FBD1" w14:textId="77777777" w:rsidR="008540C1" w:rsidRDefault="00092C86" w:rsidP="00092C86">
      <w:pPr>
        <w:mirrorIndents/>
        <w:rPr>
          <w:sz w:val="22"/>
          <w:szCs w:val="22"/>
        </w:rPr>
      </w:pPr>
      <w:r>
        <w:rPr>
          <w:sz w:val="22"/>
          <w:szCs w:val="22"/>
        </w:rPr>
        <w:t xml:space="preserve"> </w:t>
      </w:r>
    </w:p>
    <w:p w14:paraId="6C9DC9EA" w14:textId="51436E74" w:rsidR="008E5CB0" w:rsidRDefault="00092C86" w:rsidP="00AD716B">
      <w:pPr>
        <w:mirrorIndents/>
        <w:rPr>
          <w:sz w:val="22"/>
          <w:szCs w:val="22"/>
        </w:rPr>
      </w:pPr>
      <w:r>
        <w:rPr>
          <w:sz w:val="22"/>
          <w:szCs w:val="22"/>
        </w:rPr>
        <w:t xml:space="preserve">The </w:t>
      </w:r>
      <w:r w:rsidR="00B4197F" w:rsidRPr="09C9F506">
        <w:rPr>
          <w:sz w:val="22"/>
          <w:szCs w:val="22"/>
        </w:rPr>
        <w:t>D</w:t>
      </w:r>
      <w:r w:rsidRPr="09C9F506">
        <w:rPr>
          <w:sz w:val="22"/>
          <w:szCs w:val="22"/>
        </w:rPr>
        <w:t>epartment</w:t>
      </w:r>
      <w:r>
        <w:rPr>
          <w:sz w:val="22"/>
          <w:szCs w:val="22"/>
        </w:rPr>
        <w:t xml:space="preserve"> will continue to monitor the financial health of the </w:t>
      </w:r>
      <w:r w:rsidR="00AD716B" w:rsidRPr="00AD716B">
        <w:rPr>
          <w:sz w:val="22"/>
          <w:szCs w:val="22"/>
        </w:rPr>
        <w:t>Certified Operator and Public Water System Certification Fees</w:t>
      </w:r>
      <w:r>
        <w:rPr>
          <w:sz w:val="22"/>
          <w:szCs w:val="22"/>
        </w:rPr>
        <w:t xml:space="preserve"> program over a six-year outlook and propose fee adjustments as needed to comply with statutory requirements.</w:t>
      </w:r>
    </w:p>
    <w:p w14:paraId="772D908F" w14:textId="77777777" w:rsidR="008A7B85" w:rsidRDefault="008A7B85">
      <w:pPr>
        <w:spacing w:after="160" w:line="259" w:lineRule="auto"/>
        <w:rPr>
          <w:rFonts w:asciiTheme="majorHAnsi" w:eastAsiaTheme="majorEastAsia" w:hAnsiTheme="majorHAnsi" w:cstheme="majorBidi"/>
          <w:color w:val="2E74B5" w:themeColor="accent1" w:themeShade="BF"/>
          <w:sz w:val="32"/>
          <w:szCs w:val="32"/>
        </w:rPr>
      </w:pPr>
      <w:r>
        <w:br w:type="page"/>
      </w:r>
    </w:p>
    <w:p w14:paraId="3F17E518" w14:textId="18D9D0D7" w:rsidR="008E5CB0" w:rsidRPr="00FD257A" w:rsidRDefault="031E44A2" w:rsidP="008E5CB0">
      <w:pPr>
        <w:pStyle w:val="Heading1"/>
        <w:spacing w:before="0"/>
      </w:pPr>
      <w:bookmarkStart w:id="3" w:name="_Toc203026352"/>
      <w:r>
        <w:lastRenderedPageBreak/>
        <w:t>WAC 246-2</w:t>
      </w:r>
      <w:r w:rsidR="0B85FEBC">
        <w:t>94</w:t>
      </w:r>
      <w:r>
        <w:t>-</w:t>
      </w:r>
      <w:r w:rsidR="4C7F1DFA">
        <w:t>070</w:t>
      </w:r>
      <w:r>
        <w:t xml:space="preserve">, </w:t>
      </w:r>
      <w:r w:rsidR="1A8CC578">
        <w:t>O</w:t>
      </w:r>
      <w:r w:rsidR="568F2359">
        <w:t>perating Permit</w:t>
      </w:r>
      <w:r>
        <w:t xml:space="preserve"> Fees</w:t>
      </w:r>
      <w:bookmarkEnd w:id="3"/>
    </w:p>
    <w:p w14:paraId="6BB0018A" w14:textId="4133F15C" w:rsidR="008E5CB0" w:rsidRPr="00714061" w:rsidRDefault="008E5CB0" w:rsidP="09C9F506">
      <w:pPr>
        <w:pStyle w:val="NoSpacing"/>
      </w:pPr>
    </w:p>
    <w:p w14:paraId="5A37F754" w14:textId="77777777" w:rsidR="008E5CB0" w:rsidRPr="00A708F8" w:rsidRDefault="008E5CB0" w:rsidP="00A708F8">
      <w:pPr>
        <w:spacing w:after="0"/>
        <w:rPr>
          <w:b/>
          <w:bCs/>
          <w:sz w:val="24"/>
          <w:szCs w:val="24"/>
        </w:rPr>
      </w:pPr>
      <w:r w:rsidRPr="00A708F8">
        <w:rPr>
          <w:b/>
          <w:bCs/>
          <w:sz w:val="24"/>
          <w:szCs w:val="24"/>
        </w:rPr>
        <w:t>Overview</w:t>
      </w:r>
    </w:p>
    <w:p w14:paraId="734E5180" w14:textId="3A1B5C90" w:rsidR="00B4197F" w:rsidRPr="00B4197F" w:rsidRDefault="00B4197F" w:rsidP="00B4197F">
      <w:pPr>
        <w:spacing w:after="0"/>
        <w:mirrorIndents/>
        <w:rPr>
          <w:sz w:val="22"/>
          <w:szCs w:val="22"/>
        </w:rPr>
      </w:pPr>
      <w:r w:rsidRPr="00B4197F">
        <w:rPr>
          <w:sz w:val="22"/>
          <w:szCs w:val="22"/>
        </w:rPr>
        <w:t xml:space="preserve">The Department of Health (Department), Office of Drinking Water protects the health of the people of Washington by </w:t>
      </w:r>
      <w:r w:rsidR="0044538D">
        <w:rPr>
          <w:sz w:val="22"/>
          <w:szCs w:val="22"/>
        </w:rPr>
        <w:t>working with others to</w:t>
      </w:r>
      <w:r w:rsidR="005F6CA2">
        <w:rPr>
          <w:sz w:val="22"/>
          <w:szCs w:val="22"/>
        </w:rPr>
        <w:t xml:space="preserve"> </w:t>
      </w:r>
      <w:r w:rsidRPr="54809000">
        <w:rPr>
          <w:sz w:val="22"/>
          <w:szCs w:val="22"/>
        </w:rPr>
        <w:t>ensur</w:t>
      </w:r>
      <w:r w:rsidR="005F6CA2" w:rsidRPr="54809000">
        <w:rPr>
          <w:sz w:val="22"/>
          <w:szCs w:val="22"/>
        </w:rPr>
        <w:t>e</w:t>
      </w:r>
      <w:r w:rsidRPr="00B4197F">
        <w:rPr>
          <w:sz w:val="22"/>
          <w:szCs w:val="22"/>
        </w:rPr>
        <w:t xml:space="preserve"> safe and reliable drinking water. The Office of Drinking Water conducts water system inspections, oversees the testing and evaluation of the water quality of public water systems, reviews construction plans, provides training and technical assistance, assists water systems and local municipalities, responds to emergencies, and develops guidance materials and educational resources. </w:t>
      </w:r>
      <w:hyperlink r:id="rId28">
        <w:r w:rsidRPr="2703AF4E">
          <w:rPr>
            <w:rStyle w:val="Hyperlink"/>
            <w:sz w:val="22"/>
            <w:szCs w:val="22"/>
          </w:rPr>
          <w:t>Chapter 70A.125 RCW</w:t>
        </w:r>
      </w:hyperlink>
      <w:r w:rsidRPr="00B4197F">
        <w:rPr>
          <w:sz w:val="22"/>
          <w:szCs w:val="22"/>
        </w:rPr>
        <w:t xml:space="preserve"> mandates the Department to administer the state’s drinking water program. The Office of Drinking Water regulates Group A public water systems under state law and has a formal agreement with the U.S. Environmental Protection Agency (EPA) for carrying out the federal Safe Drinking Water Act, which establishes minimum standards for drinking water quality. </w:t>
      </w:r>
      <w:hyperlink r:id="rId29">
        <w:r w:rsidRPr="2703AF4E">
          <w:rPr>
            <w:rStyle w:val="Hyperlink"/>
            <w:sz w:val="22"/>
            <w:szCs w:val="22"/>
          </w:rPr>
          <w:t>Chapter 70A.120 RCW</w:t>
        </w:r>
      </w:hyperlink>
      <w:r w:rsidRPr="00B4197F">
        <w:rPr>
          <w:sz w:val="22"/>
          <w:szCs w:val="22"/>
        </w:rPr>
        <w:t xml:space="preserve"> requires the Department to certify public water system operators and monitor public water systems to ensure that such systems comply with federal and state laws. </w:t>
      </w:r>
    </w:p>
    <w:p w14:paraId="1E9999FB" w14:textId="77777777" w:rsidR="00B4197F" w:rsidRPr="00B4197F" w:rsidRDefault="00B4197F" w:rsidP="00B4197F">
      <w:pPr>
        <w:spacing w:after="0"/>
        <w:mirrorIndents/>
        <w:rPr>
          <w:sz w:val="22"/>
          <w:szCs w:val="22"/>
        </w:rPr>
      </w:pPr>
    </w:p>
    <w:p w14:paraId="0BDD2551" w14:textId="22FD4610" w:rsidR="00B908DA" w:rsidRDefault="00B4197F" w:rsidP="00D27413">
      <w:pPr>
        <w:spacing w:after="0"/>
        <w:mirrorIndents/>
        <w:rPr>
          <w:sz w:val="22"/>
          <w:szCs w:val="22"/>
        </w:rPr>
      </w:pPr>
      <w:r w:rsidRPr="00B4197F">
        <w:rPr>
          <w:sz w:val="22"/>
          <w:szCs w:val="22"/>
        </w:rPr>
        <w:t xml:space="preserve">More than </w:t>
      </w:r>
      <w:r w:rsidR="002C7844">
        <w:rPr>
          <w:sz w:val="22"/>
          <w:szCs w:val="22"/>
        </w:rPr>
        <w:t>7.0</w:t>
      </w:r>
      <w:r w:rsidRPr="00B4197F">
        <w:rPr>
          <w:sz w:val="22"/>
          <w:szCs w:val="22"/>
        </w:rPr>
        <w:t xml:space="preserve"> million Washington residents get their drinking water from a Group A or Group B public water system. That's 8</w:t>
      </w:r>
      <w:r w:rsidR="002C7844">
        <w:rPr>
          <w:sz w:val="22"/>
          <w:szCs w:val="22"/>
        </w:rPr>
        <w:t>8</w:t>
      </w:r>
      <w:r w:rsidRPr="00B4197F">
        <w:rPr>
          <w:sz w:val="22"/>
          <w:szCs w:val="22"/>
        </w:rPr>
        <w:t xml:space="preserve"> percent of the state's population. About </w:t>
      </w:r>
      <w:r w:rsidR="002C7844">
        <w:rPr>
          <w:sz w:val="22"/>
          <w:szCs w:val="22"/>
        </w:rPr>
        <w:t>960</w:t>
      </w:r>
      <w:r w:rsidRPr="00B4197F">
        <w:rPr>
          <w:sz w:val="22"/>
          <w:szCs w:val="22"/>
        </w:rPr>
        <w:t>,000 Washington residents get their drinking water from individual private wells</w:t>
      </w:r>
      <w:r w:rsidRPr="2703AF4E">
        <w:rPr>
          <w:sz w:val="22"/>
          <w:szCs w:val="22"/>
        </w:rPr>
        <w:t>. </w:t>
      </w:r>
    </w:p>
    <w:p w14:paraId="1143A548" w14:textId="77777777" w:rsidR="00B4197F" w:rsidRDefault="00B4197F" w:rsidP="00B4197F">
      <w:pPr>
        <w:pStyle w:val="NoSpacing"/>
      </w:pPr>
    </w:p>
    <w:p w14:paraId="524E21B4" w14:textId="2646691D" w:rsidR="00B908DA" w:rsidRDefault="00B908DA" w:rsidP="00D27413">
      <w:pPr>
        <w:spacing w:after="0"/>
        <w:mirrorIndents/>
        <w:rPr>
          <w:sz w:val="22"/>
          <w:szCs w:val="22"/>
        </w:rPr>
      </w:pPr>
      <w:r w:rsidRPr="00B908DA">
        <w:rPr>
          <w:sz w:val="22"/>
          <w:szCs w:val="22"/>
        </w:rPr>
        <w:t xml:space="preserve">State law requires all Group A public water systems to apply for an annual operating permit, which includes an annual fee. </w:t>
      </w:r>
      <w:r w:rsidR="00B4197F">
        <w:rPr>
          <w:sz w:val="22"/>
          <w:szCs w:val="22"/>
        </w:rPr>
        <w:t>The Office of Drinking Water</w:t>
      </w:r>
      <w:r w:rsidRPr="00B908DA">
        <w:rPr>
          <w:sz w:val="22"/>
          <w:szCs w:val="22"/>
        </w:rPr>
        <w:t xml:space="preserve"> process</w:t>
      </w:r>
      <w:r>
        <w:rPr>
          <w:sz w:val="22"/>
          <w:szCs w:val="22"/>
        </w:rPr>
        <w:t>es</w:t>
      </w:r>
      <w:r w:rsidRPr="00B908DA">
        <w:rPr>
          <w:sz w:val="22"/>
          <w:szCs w:val="22"/>
        </w:rPr>
        <w:t xml:space="preserve"> and issue</w:t>
      </w:r>
      <w:r>
        <w:rPr>
          <w:sz w:val="22"/>
          <w:szCs w:val="22"/>
        </w:rPr>
        <w:t>s</w:t>
      </w:r>
      <w:r w:rsidRPr="00B908DA">
        <w:rPr>
          <w:sz w:val="22"/>
          <w:szCs w:val="22"/>
        </w:rPr>
        <w:t xml:space="preserve"> operating permits throughout the year, based on system size and type. </w:t>
      </w:r>
    </w:p>
    <w:p w14:paraId="472394C2" w14:textId="77777777" w:rsidR="00B4197F" w:rsidRDefault="00B4197F" w:rsidP="00B4197F">
      <w:pPr>
        <w:pStyle w:val="NoSpacing"/>
      </w:pPr>
    </w:p>
    <w:p w14:paraId="1292D471" w14:textId="79ED6B5E" w:rsidR="00B4197F" w:rsidRPr="00B4197F" w:rsidRDefault="00B4197F" w:rsidP="00B4197F">
      <w:pPr>
        <w:spacing w:after="0"/>
        <w:mirrorIndents/>
        <w:rPr>
          <w:sz w:val="22"/>
          <w:szCs w:val="22"/>
        </w:rPr>
      </w:pPr>
      <w:hyperlink r:id="rId30" w:history="1">
        <w:r w:rsidRPr="00B4197F">
          <w:rPr>
            <w:rStyle w:val="Hyperlink"/>
            <w:sz w:val="22"/>
            <w:szCs w:val="22"/>
          </w:rPr>
          <w:t>RCW 43.70.250</w:t>
        </w:r>
      </w:hyperlink>
      <w:r w:rsidRPr="00B4197F">
        <w:rPr>
          <w:sz w:val="22"/>
          <w:szCs w:val="22"/>
        </w:rPr>
        <w:t xml:space="preserve"> authorizes the Secretary of Health to establish various fees associated with licensing and regulation of professions, occupations, or businesses. These fees must be set at a level that covers the costs of administering each program or license. </w:t>
      </w:r>
      <w:hyperlink r:id="rId31" w:tgtFrame="_blank" w:history="1">
        <w:r w:rsidRPr="00B4197F">
          <w:rPr>
            <w:rStyle w:val="Hyperlink"/>
            <w:sz w:val="22"/>
            <w:szCs w:val="22"/>
          </w:rPr>
          <w:t>RCW 43.20B.020</w:t>
        </w:r>
      </w:hyperlink>
      <w:r w:rsidRPr="00B4197F">
        <w:rPr>
          <w:sz w:val="22"/>
          <w:szCs w:val="22"/>
        </w:rPr>
        <w:t xml:space="preserve"> also permits the Department to charge fees for services.</w:t>
      </w:r>
      <w:r>
        <w:rPr>
          <w:sz w:val="22"/>
          <w:szCs w:val="22"/>
        </w:rPr>
        <w:t xml:space="preserve"> </w:t>
      </w:r>
      <w:hyperlink r:id="rId32" w:history="1">
        <w:r w:rsidR="00F86ED9" w:rsidRPr="00E33F64">
          <w:rPr>
            <w:rStyle w:val="Hyperlink"/>
            <w:sz w:val="22"/>
            <w:szCs w:val="22"/>
          </w:rPr>
          <w:t>RCW 70A.125.100(9)</w:t>
        </w:r>
      </w:hyperlink>
      <w:r w:rsidR="00F86ED9">
        <w:rPr>
          <w:sz w:val="22"/>
          <w:szCs w:val="22"/>
        </w:rPr>
        <w:t xml:space="preserve"> </w:t>
      </w:r>
      <w:r w:rsidR="00E33F64">
        <w:rPr>
          <w:sz w:val="22"/>
          <w:szCs w:val="22"/>
        </w:rPr>
        <w:t>requires</w:t>
      </w:r>
      <w:r w:rsidR="00F86ED9">
        <w:rPr>
          <w:sz w:val="22"/>
          <w:szCs w:val="22"/>
        </w:rPr>
        <w:t xml:space="preserve"> the </w:t>
      </w:r>
      <w:r w:rsidR="00F67153">
        <w:rPr>
          <w:sz w:val="22"/>
          <w:szCs w:val="22"/>
        </w:rPr>
        <w:t>per-connection fee cannot exceed</w:t>
      </w:r>
      <w:r w:rsidR="00E33F64">
        <w:rPr>
          <w:sz w:val="22"/>
          <w:szCs w:val="22"/>
        </w:rPr>
        <w:t xml:space="preserve"> </w:t>
      </w:r>
      <w:r w:rsidR="00F67153">
        <w:rPr>
          <w:sz w:val="22"/>
          <w:szCs w:val="22"/>
        </w:rPr>
        <w:t>$1.50</w:t>
      </w:r>
      <w:r w:rsidR="00E33F64">
        <w:rPr>
          <w:sz w:val="22"/>
          <w:szCs w:val="22"/>
        </w:rPr>
        <w:t xml:space="preserve"> and the Department must phase-in increases greater than ten percent</w:t>
      </w:r>
      <w:r w:rsidR="00F86ED9" w:rsidRPr="00F86ED9">
        <w:rPr>
          <w:sz w:val="22"/>
          <w:szCs w:val="22"/>
        </w:rPr>
        <w:t>.</w:t>
      </w:r>
    </w:p>
    <w:p w14:paraId="0C6280FD" w14:textId="77777777" w:rsidR="00D27413" w:rsidRDefault="00D27413" w:rsidP="00D27413">
      <w:pPr>
        <w:pStyle w:val="NoSpacing"/>
      </w:pPr>
    </w:p>
    <w:p w14:paraId="39FB0E8D" w14:textId="14E9C89B" w:rsidR="00D27413" w:rsidRDefault="00D27413" w:rsidP="00D27413">
      <w:pPr>
        <w:spacing w:after="0"/>
        <w:mirrorIndents/>
        <w:rPr>
          <w:sz w:val="22"/>
          <w:szCs w:val="22"/>
        </w:rPr>
      </w:pPr>
      <w:r w:rsidRPr="00732277">
        <w:rPr>
          <w:sz w:val="22"/>
          <w:szCs w:val="22"/>
        </w:rPr>
        <w:t xml:space="preserve">The </w:t>
      </w:r>
      <w:r>
        <w:rPr>
          <w:sz w:val="22"/>
          <w:szCs w:val="22"/>
        </w:rPr>
        <w:t>D</w:t>
      </w:r>
      <w:r w:rsidRPr="00732277">
        <w:rPr>
          <w:sz w:val="22"/>
          <w:szCs w:val="22"/>
        </w:rPr>
        <w:t xml:space="preserve">epartment has completed an initial assessment and determined the current fees are not generating sufficient revenue to cover the operating costs over the biennium. </w:t>
      </w:r>
      <w:r w:rsidRPr="001714C6">
        <w:rPr>
          <w:sz w:val="22"/>
          <w:szCs w:val="22"/>
        </w:rPr>
        <w:t>Considering the program’s financial forecast,</w:t>
      </w:r>
      <w:r>
        <w:rPr>
          <w:sz w:val="22"/>
          <w:szCs w:val="22"/>
        </w:rPr>
        <w:t xml:space="preserve"> the department recommends a fee</w:t>
      </w:r>
      <w:r w:rsidRPr="00732277">
        <w:rPr>
          <w:sz w:val="22"/>
          <w:szCs w:val="22"/>
        </w:rPr>
        <w:t xml:space="preserve"> </w:t>
      </w:r>
      <w:r>
        <w:rPr>
          <w:sz w:val="22"/>
          <w:szCs w:val="22"/>
        </w:rPr>
        <w:t xml:space="preserve">adjustment </w:t>
      </w:r>
      <w:r w:rsidRPr="00732277">
        <w:rPr>
          <w:sz w:val="22"/>
          <w:szCs w:val="22"/>
        </w:rPr>
        <w:t>to address existing program deficits, reductions in funding from General Fund State (GFS) account, and cost-of-living adjustments made in the 2025-2027 state budget (ESSB 5167).</w:t>
      </w:r>
    </w:p>
    <w:p w14:paraId="6F6A0A3E" w14:textId="77777777" w:rsidR="00D27413" w:rsidRDefault="00D27413" w:rsidP="00D27413">
      <w:pPr>
        <w:pStyle w:val="NoSpacing"/>
      </w:pPr>
    </w:p>
    <w:p w14:paraId="5217D041" w14:textId="77777777" w:rsidR="00D27413" w:rsidRPr="001714C6" w:rsidRDefault="00D27413" w:rsidP="00D27413">
      <w:pPr>
        <w:spacing w:after="0"/>
        <w:mirrorIndents/>
        <w:rPr>
          <w:sz w:val="22"/>
          <w:szCs w:val="22"/>
        </w:rPr>
      </w:pPr>
      <w:r w:rsidRPr="001714C6">
        <w:rPr>
          <w:sz w:val="22"/>
          <w:szCs w:val="22"/>
        </w:rPr>
        <w:t>This document summarizes data on revenu</w:t>
      </w:r>
      <w:r>
        <w:rPr>
          <w:sz w:val="22"/>
          <w:szCs w:val="22"/>
        </w:rPr>
        <w:t>e, expenditures, fee reserve, cost</w:t>
      </w:r>
      <w:r w:rsidRPr="001714C6">
        <w:rPr>
          <w:sz w:val="22"/>
          <w:szCs w:val="22"/>
        </w:rPr>
        <w:t xml:space="preserve"> drivers</w:t>
      </w:r>
      <w:r>
        <w:rPr>
          <w:sz w:val="22"/>
          <w:szCs w:val="22"/>
        </w:rPr>
        <w:t>, financial forecast</w:t>
      </w:r>
      <w:r w:rsidRPr="001714C6">
        <w:rPr>
          <w:sz w:val="22"/>
          <w:szCs w:val="22"/>
        </w:rPr>
        <w:t xml:space="preserve">, and the </w:t>
      </w:r>
      <w:r>
        <w:rPr>
          <w:sz w:val="22"/>
          <w:szCs w:val="22"/>
        </w:rPr>
        <w:t>changes to existing</w:t>
      </w:r>
      <w:r w:rsidRPr="001714C6">
        <w:rPr>
          <w:sz w:val="22"/>
          <w:szCs w:val="22"/>
        </w:rPr>
        <w:t xml:space="preserve"> fees.</w:t>
      </w:r>
    </w:p>
    <w:p w14:paraId="769D1E75" w14:textId="77777777" w:rsidR="00D27413" w:rsidRDefault="00D27413" w:rsidP="00D27413">
      <w:pPr>
        <w:pStyle w:val="NoSpacing"/>
      </w:pPr>
    </w:p>
    <w:p w14:paraId="1EBFFDCE" w14:textId="49E402EB" w:rsidR="00873551" w:rsidRDefault="00D27413" w:rsidP="00873551">
      <w:pPr>
        <w:spacing w:after="0"/>
        <w:rPr>
          <w:b/>
          <w:bCs/>
          <w:sz w:val="24"/>
          <w:szCs w:val="24"/>
        </w:rPr>
      </w:pPr>
      <w:r>
        <w:rPr>
          <w:b/>
          <w:bCs/>
          <w:sz w:val="24"/>
          <w:szCs w:val="24"/>
        </w:rPr>
        <w:t>Current Financial Status</w:t>
      </w:r>
    </w:p>
    <w:p w14:paraId="46787BFC" w14:textId="564BF354" w:rsidR="00873551" w:rsidRDefault="00873551" w:rsidP="00873551">
      <w:pPr>
        <w:spacing w:after="0"/>
        <w:mirrorIndents/>
        <w:rPr>
          <w:color w:val="auto"/>
          <w:sz w:val="22"/>
          <w:szCs w:val="22"/>
        </w:rPr>
      </w:pPr>
      <w:r w:rsidRPr="001714C6">
        <w:rPr>
          <w:sz w:val="22"/>
          <w:szCs w:val="22"/>
        </w:rPr>
        <w:t xml:space="preserve">The </w:t>
      </w:r>
      <w:r w:rsidRPr="482203AF">
        <w:rPr>
          <w:sz w:val="22"/>
          <w:szCs w:val="22"/>
        </w:rPr>
        <w:t xml:space="preserve">Department’s </w:t>
      </w:r>
      <w:r w:rsidR="008C7B16" w:rsidRPr="008C7B16">
        <w:rPr>
          <w:sz w:val="22"/>
          <w:szCs w:val="22"/>
        </w:rPr>
        <w:t>Operating Permit Fees</w:t>
      </w:r>
      <w:r w:rsidR="00EC5D66">
        <w:rPr>
          <w:sz w:val="22"/>
          <w:szCs w:val="22"/>
        </w:rPr>
        <w:t xml:space="preserve"> program</w:t>
      </w:r>
      <w:r w:rsidR="008C7B16" w:rsidRPr="008C7B16">
        <w:rPr>
          <w:sz w:val="22"/>
          <w:szCs w:val="22"/>
        </w:rPr>
        <w:t xml:space="preserve"> </w:t>
      </w:r>
      <w:r w:rsidR="003E7C6A">
        <w:rPr>
          <w:sz w:val="22"/>
          <w:szCs w:val="22"/>
        </w:rPr>
        <w:t>currently</w:t>
      </w:r>
      <w:r w:rsidR="00FD1596">
        <w:rPr>
          <w:sz w:val="22"/>
          <w:szCs w:val="22"/>
        </w:rPr>
        <w:t>,</w:t>
      </w:r>
      <w:r w:rsidRPr="001714C6">
        <w:rPr>
          <w:sz w:val="22"/>
          <w:szCs w:val="22"/>
        </w:rPr>
        <w:t xml:space="preserve"> fiscal year </w:t>
      </w:r>
      <w:r>
        <w:rPr>
          <w:sz w:val="22"/>
          <w:szCs w:val="22"/>
        </w:rPr>
        <w:t>(</w:t>
      </w:r>
      <w:r w:rsidRPr="001714C6">
        <w:rPr>
          <w:sz w:val="22"/>
          <w:szCs w:val="22"/>
        </w:rPr>
        <w:t>FY</w:t>
      </w:r>
      <w:r>
        <w:rPr>
          <w:sz w:val="22"/>
          <w:szCs w:val="22"/>
        </w:rPr>
        <w:t>)</w:t>
      </w:r>
      <w:r w:rsidRPr="482203AF">
        <w:rPr>
          <w:sz w:val="22"/>
          <w:szCs w:val="22"/>
        </w:rPr>
        <w:t xml:space="preserve"> </w:t>
      </w:r>
      <w:r w:rsidRPr="001714C6">
        <w:rPr>
          <w:sz w:val="22"/>
          <w:szCs w:val="22"/>
        </w:rPr>
        <w:t>20</w:t>
      </w:r>
      <w:r>
        <w:rPr>
          <w:sz w:val="22"/>
          <w:szCs w:val="22"/>
        </w:rPr>
        <w:t>2</w:t>
      </w:r>
      <w:r w:rsidR="00FD1596">
        <w:rPr>
          <w:sz w:val="22"/>
          <w:szCs w:val="22"/>
        </w:rPr>
        <w:t>5,</w:t>
      </w:r>
      <w:r w:rsidRPr="001714C6">
        <w:rPr>
          <w:sz w:val="22"/>
          <w:szCs w:val="22"/>
        </w:rPr>
        <w:t xml:space="preserve"> </w:t>
      </w:r>
      <w:r w:rsidR="00FD1596">
        <w:rPr>
          <w:sz w:val="22"/>
          <w:szCs w:val="22"/>
        </w:rPr>
        <w:t>has</w:t>
      </w:r>
      <w:r w:rsidRPr="001714C6">
        <w:rPr>
          <w:sz w:val="22"/>
          <w:szCs w:val="22"/>
        </w:rPr>
        <w:t xml:space="preserve"> a </w:t>
      </w:r>
      <w:r>
        <w:rPr>
          <w:sz w:val="22"/>
          <w:szCs w:val="22"/>
        </w:rPr>
        <w:t>fee</w:t>
      </w:r>
      <w:r w:rsidRPr="001714C6">
        <w:rPr>
          <w:sz w:val="22"/>
          <w:szCs w:val="22"/>
        </w:rPr>
        <w:t xml:space="preserve"> balance of </w:t>
      </w:r>
      <w:r w:rsidRPr="001714C6">
        <w:rPr>
          <w:color w:val="auto"/>
          <w:sz w:val="22"/>
          <w:szCs w:val="22"/>
        </w:rPr>
        <w:t>$</w:t>
      </w:r>
      <w:r w:rsidR="00FD1596">
        <w:rPr>
          <w:color w:val="auto"/>
          <w:sz w:val="22"/>
          <w:szCs w:val="22"/>
        </w:rPr>
        <w:t>6,176,371</w:t>
      </w:r>
      <w:r w:rsidRPr="001714C6">
        <w:rPr>
          <w:color w:val="auto"/>
          <w:sz w:val="22"/>
          <w:szCs w:val="22"/>
        </w:rPr>
        <w:t>.</w:t>
      </w:r>
      <w:r>
        <w:rPr>
          <w:color w:val="auto"/>
          <w:sz w:val="22"/>
          <w:szCs w:val="22"/>
        </w:rPr>
        <w:t xml:space="preserve"> The fee balance </w:t>
      </w:r>
      <w:r w:rsidR="00FB5789">
        <w:rPr>
          <w:color w:val="auto"/>
          <w:sz w:val="22"/>
          <w:szCs w:val="22"/>
        </w:rPr>
        <w:t xml:space="preserve">was </w:t>
      </w:r>
      <w:r w:rsidR="007A171A">
        <w:rPr>
          <w:color w:val="auto"/>
          <w:sz w:val="22"/>
          <w:szCs w:val="22"/>
        </w:rPr>
        <w:t xml:space="preserve">accrued </w:t>
      </w:r>
      <w:r w:rsidR="00E33A3C">
        <w:rPr>
          <w:color w:val="auto"/>
          <w:sz w:val="22"/>
          <w:szCs w:val="22"/>
        </w:rPr>
        <w:t xml:space="preserve">to support the </w:t>
      </w:r>
      <w:r w:rsidR="00A61C9D" w:rsidRPr="0E2B38E5">
        <w:rPr>
          <w:color w:val="auto"/>
          <w:sz w:val="22"/>
          <w:szCs w:val="22"/>
        </w:rPr>
        <w:t>D</w:t>
      </w:r>
      <w:r w:rsidR="00E33A3C" w:rsidRPr="0E2B38E5">
        <w:rPr>
          <w:color w:val="auto"/>
          <w:sz w:val="22"/>
          <w:szCs w:val="22"/>
        </w:rPr>
        <w:t>epartment</w:t>
      </w:r>
      <w:r w:rsidR="002821A0" w:rsidRPr="0E2B38E5">
        <w:rPr>
          <w:color w:val="auto"/>
          <w:sz w:val="22"/>
          <w:szCs w:val="22"/>
        </w:rPr>
        <w:t>’</w:t>
      </w:r>
      <w:r w:rsidR="00E33A3C" w:rsidRPr="0E2B38E5">
        <w:rPr>
          <w:color w:val="auto"/>
          <w:sz w:val="22"/>
          <w:szCs w:val="22"/>
        </w:rPr>
        <w:t>s</w:t>
      </w:r>
      <w:r w:rsidR="00E33A3C">
        <w:rPr>
          <w:color w:val="auto"/>
          <w:sz w:val="22"/>
          <w:szCs w:val="22"/>
        </w:rPr>
        <w:t xml:space="preserve"> database transition; however </w:t>
      </w:r>
      <w:r w:rsidR="00E33A3C">
        <w:rPr>
          <w:color w:val="auto"/>
          <w:sz w:val="22"/>
          <w:szCs w:val="22"/>
        </w:rPr>
        <w:lastRenderedPageBreak/>
        <w:t>no</w:t>
      </w:r>
      <w:r w:rsidR="002821A0">
        <w:rPr>
          <w:color w:val="auto"/>
          <w:sz w:val="22"/>
          <w:szCs w:val="22"/>
        </w:rPr>
        <w:t xml:space="preserve">w </w:t>
      </w:r>
      <w:r w:rsidR="00E33A3C">
        <w:rPr>
          <w:color w:val="auto"/>
          <w:sz w:val="22"/>
          <w:szCs w:val="22"/>
        </w:rPr>
        <w:t xml:space="preserve">this surplus will cover </w:t>
      </w:r>
      <w:r w:rsidR="007A171A">
        <w:rPr>
          <w:color w:val="auto"/>
          <w:sz w:val="22"/>
          <w:szCs w:val="22"/>
        </w:rPr>
        <w:t>the required</w:t>
      </w:r>
      <w:r w:rsidR="00E33A3C">
        <w:rPr>
          <w:color w:val="auto"/>
          <w:sz w:val="22"/>
          <w:szCs w:val="22"/>
        </w:rPr>
        <w:t xml:space="preserve"> state match</w:t>
      </w:r>
      <w:r w:rsidR="00BF3F44">
        <w:rPr>
          <w:color w:val="auto"/>
          <w:sz w:val="22"/>
          <w:szCs w:val="22"/>
        </w:rPr>
        <w:t xml:space="preserve"> and </w:t>
      </w:r>
      <w:r w:rsidR="002E719C">
        <w:rPr>
          <w:color w:val="auto"/>
          <w:sz w:val="22"/>
          <w:szCs w:val="22"/>
        </w:rPr>
        <w:t>legal costs</w:t>
      </w:r>
      <w:r w:rsidR="007A171A">
        <w:rPr>
          <w:color w:val="auto"/>
          <w:sz w:val="22"/>
          <w:szCs w:val="22"/>
        </w:rPr>
        <w:t xml:space="preserve"> previously covered by GFS</w:t>
      </w:r>
      <w:r w:rsidR="00E33A3C">
        <w:rPr>
          <w:color w:val="auto"/>
          <w:sz w:val="22"/>
          <w:szCs w:val="22"/>
        </w:rPr>
        <w:t xml:space="preserve"> for </w:t>
      </w:r>
      <w:r w:rsidR="007A171A">
        <w:rPr>
          <w:color w:val="auto"/>
          <w:sz w:val="22"/>
          <w:szCs w:val="22"/>
        </w:rPr>
        <w:t>federal funding the program receives</w:t>
      </w:r>
      <w:r w:rsidR="002E719C">
        <w:rPr>
          <w:color w:val="auto"/>
          <w:sz w:val="22"/>
          <w:szCs w:val="22"/>
        </w:rPr>
        <w:t>, increasing cost</w:t>
      </w:r>
      <w:r w:rsidR="004F4939">
        <w:rPr>
          <w:color w:val="auto"/>
          <w:sz w:val="22"/>
          <w:szCs w:val="22"/>
        </w:rPr>
        <w:t>s</w:t>
      </w:r>
      <w:r w:rsidR="002E719C">
        <w:rPr>
          <w:color w:val="auto"/>
          <w:sz w:val="22"/>
          <w:szCs w:val="22"/>
        </w:rPr>
        <w:t xml:space="preserve"> </w:t>
      </w:r>
      <w:r w:rsidR="004F4939">
        <w:rPr>
          <w:color w:val="auto"/>
          <w:sz w:val="22"/>
          <w:szCs w:val="22"/>
        </w:rPr>
        <w:t>by approximately 45%</w:t>
      </w:r>
      <w:r w:rsidR="00A4341B">
        <w:rPr>
          <w:color w:val="auto"/>
          <w:sz w:val="22"/>
          <w:szCs w:val="22"/>
        </w:rPr>
        <w:t xml:space="preserve"> </w:t>
      </w:r>
      <w:r w:rsidR="006E1E0C">
        <w:rPr>
          <w:color w:val="auto"/>
          <w:sz w:val="22"/>
          <w:szCs w:val="22"/>
        </w:rPr>
        <w:t>for</w:t>
      </w:r>
      <w:r w:rsidR="00EC5D66">
        <w:rPr>
          <w:color w:val="auto"/>
          <w:sz w:val="22"/>
          <w:szCs w:val="22"/>
        </w:rPr>
        <w:t xml:space="preserve"> the </w:t>
      </w:r>
      <w:r w:rsidR="006E1E0C" w:rsidRPr="0E2B38E5">
        <w:rPr>
          <w:color w:val="auto"/>
          <w:sz w:val="22"/>
          <w:szCs w:val="22"/>
        </w:rPr>
        <w:t>program</w:t>
      </w:r>
      <w:r w:rsidR="7AC05164" w:rsidRPr="0E2B38E5">
        <w:rPr>
          <w:color w:val="auto"/>
          <w:sz w:val="22"/>
          <w:szCs w:val="22"/>
        </w:rPr>
        <w:t>.</w:t>
      </w:r>
      <w:r w:rsidR="007A171A" w:rsidRPr="0E2B38E5">
        <w:rPr>
          <w:color w:val="auto"/>
          <w:sz w:val="22"/>
          <w:szCs w:val="22"/>
        </w:rPr>
        <w:t xml:space="preserve"> </w:t>
      </w:r>
      <w:r w:rsidR="00EC5D66">
        <w:rPr>
          <w:color w:val="auto"/>
          <w:sz w:val="22"/>
          <w:szCs w:val="22"/>
        </w:rPr>
        <w:t xml:space="preserve"> </w:t>
      </w:r>
      <w:r>
        <w:rPr>
          <w:color w:val="auto"/>
          <w:sz w:val="22"/>
          <w:szCs w:val="22"/>
        </w:rPr>
        <w:t xml:space="preserve">The program is projected to deplete the reserve balance and operate at a deficit due to GFS reductions each year through </w:t>
      </w:r>
      <w:r w:rsidRPr="482203AF">
        <w:rPr>
          <w:color w:val="auto"/>
          <w:sz w:val="22"/>
          <w:szCs w:val="22"/>
        </w:rPr>
        <w:t>FY 20</w:t>
      </w:r>
      <w:r w:rsidR="000B2D9C">
        <w:rPr>
          <w:color w:val="auto"/>
          <w:sz w:val="22"/>
          <w:szCs w:val="22"/>
        </w:rPr>
        <w:t>31</w:t>
      </w:r>
      <w:r w:rsidRPr="482203AF">
        <w:rPr>
          <w:color w:val="auto"/>
          <w:sz w:val="22"/>
          <w:szCs w:val="22"/>
        </w:rPr>
        <w:t>.</w:t>
      </w:r>
    </w:p>
    <w:p w14:paraId="17395C93" w14:textId="77777777" w:rsidR="00873551" w:rsidRDefault="00873551" w:rsidP="09C9F506">
      <w:pPr>
        <w:pStyle w:val="NoSpacing"/>
      </w:pPr>
    </w:p>
    <w:p w14:paraId="0EA127B5" w14:textId="77777777" w:rsidR="00873551" w:rsidRPr="00933216" w:rsidRDefault="00873551" w:rsidP="00873551">
      <w:pPr>
        <w:spacing w:after="0"/>
        <w:rPr>
          <w:b/>
          <w:bCs/>
          <w:sz w:val="24"/>
          <w:szCs w:val="24"/>
        </w:rPr>
      </w:pPr>
      <w:r w:rsidRPr="00933216">
        <w:rPr>
          <w:b/>
          <w:bCs/>
          <w:sz w:val="24"/>
          <w:szCs w:val="24"/>
        </w:rPr>
        <w:t>Revenue</w:t>
      </w:r>
    </w:p>
    <w:p w14:paraId="577CF5FD" w14:textId="33685D63" w:rsidR="00873551" w:rsidRDefault="00873551" w:rsidP="00873551">
      <w:pPr>
        <w:mirrorIndents/>
        <w:rPr>
          <w:sz w:val="22"/>
          <w:szCs w:val="22"/>
        </w:rPr>
      </w:pPr>
      <w:r w:rsidRPr="001714C6">
        <w:rPr>
          <w:sz w:val="22"/>
          <w:szCs w:val="22"/>
        </w:rPr>
        <w:t xml:space="preserve">The </w:t>
      </w:r>
      <w:r>
        <w:rPr>
          <w:sz w:val="22"/>
          <w:szCs w:val="22"/>
        </w:rPr>
        <w:t>D</w:t>
      </w:r>
      <w:r w:rsidRPr="001714C6">
        <w:rPr>
          <w:sz w:val="22"/>
          <w:szCs w:val="22"/>
        </w:rPr>
        <w:t xml:space="preserve">epartment currently </w:t>
      </w:r>
      <w:r w:rsidR="007A171A">
        <w:rPr>
          <w:sz w:val="22"/>
          <w:szCs w:val="22"/>
        </w:rPr>
        <w:t>permits</w:t>
      </w:r>
      <w:r>
        <w:rPr>
          <w:sz w:val="22"/>
          <w:szCs w:val="22"/>
        </w:rPr>
        <w:t xml:space="preserve"> </w:t>
      </w:r>
      <w:r w:rsidR="00F51BAE">
        <w:rPr>
          <w:sz w:val="22"/>
          <w:szCs w:val="22"/>
        </w:rPr>
        <w:t xml:space="preserve">water system </w:t>
      </w:r>
      <w:r w:rsidR="00A90622">
        <w:rPr>
          <w:sz w:val="22"/>
          <w:szCs w:val="22"/>
        </w:rPr>
        <w:t>operat</w:t>
      </w:r>
      <w:r w:rsidR="00F51BAE">
        <w:rPr>
          <w:sz w:val="22"/>
          <w:szCs w:val="22"/>
        </w:rPr>
        <w:t>ions</w:t>
      </w:r>
      <w:r>
        <w:rPr>
          <w:sz w:val="22"/>
          <w:szCs w:val="22"/>
        </w:rPr>
        <w:t xml:space="preserve"> </w:t>
      </w:r>
      <w:r w:rsidR="00A90622">
        <w:rPr>
          <w:sz w:val="22"/>
          <w:szCs w:val="22"/>
        </w:rPr>
        <w:t>annually</w:t>
      </w:r>
      <w:r>
        <w:rPr>
          <w:sz w:val="22"/>
          <w:szCs w:val="22"/>
        </w:rPr>
        <w:t xml:space="preserve">. </w:t>
      </w:r>
      <w:r w:rsidRPr="00724A3F">
        <w:rPr>
          <w:sz w:val="22"/>
          <w:szCs w:val="22"/>
        </w:rPr>
        <w:t xml:space="preserve">The </w:t>
      </w:r>
      <w:r w:rsidR="008C7B16" w:rsidRPr="008C7B16">
        <w:rPr>
          <w:sz w:val="22"/>
          <w:szCs w:val="22"/>
        </w:rPr>
        <w:t xml:space="preserve">Operating Permit Fees </w:t>
      </w:r>
      <w:r>
        <w:rPr>
          <w:sz w:val="22"/>
          <w:szCs w:val="22"/>
        </w:rPr>
        <w:t xml:space="preserve">program </w:t>
      </w:r>
      <w:r w:rsidR="00C30F5E">
        <w:rPr>
          <w:sz w:val="22"/>
          <w:szCs w:val="22"/>
        </w:rPr>
        <w:t>permits around 3</w:t>
      </w:r>
      <w:r w:rsidR="00F51BAE">
        <w:rPr>
          <w:sz w:val="22"/>
          <w:szCs w:val="22"/>
        </w:rPr>
        <w:t>,</w:t>
      </w:r>
      <w:r w:rsidR="00C30F5E">
        <w:rPr>
          <w:sz w:val="22"/>
          <w:szCs w:val="22"/>
        </w:rPr>
        <w:t xml:space="preserve">580 </w:t>
      </w:r>
      <w:r w:rsidR="007A171A">
        <w:rPr>
          <w:sz w:val="22"/>
          <w:szCs w:val="22"/>
        </w:rPr>
        <w:t>water systems</w:t>
      </w:r>
      <w:r>
        <w:rPr>
          <w:sz w:val="22"/>
          <w:szCs w:val="22"/>
        </w:rPr>
        <w:t xml:space="preserve"> a year. </w:t>
      </w:r>
      <w:r w:rsidR="007A171A">
        <w:rPr>
          <w:sz w:val="22"/>
          <w:szCs w:val="22"/>
        </w:rPr>
        <w:t>Water system permit fees support the monitoring waiver program among other drinking water</w:t>
      </w:r>
      <w:r w:rsidR="00787E36">
        <w:rPr>
          <w:sz w:val="22"/>
          <w:szCs w:val="22"/>
        </w:rPr>
        <w:t xml:space="preserve"> program activities.</w:t>
      </w:r>
      <w:r w:rsidR="007A171A">
        <w:rPr>
          <w:sz w:val="22"/>
          <w:szCs w:val="22"/>
        </w:rPr>
        <w:t xml:space="preserve"> </w:t>
      </w:r>
      <w:r>
        <w:rPr>
          <w:sz w:val="22"/>
          <w:szCs w:val="22"/>
        </w:rPr>
        <w:t>The</w:t>
      </w:r>
      <w:r w:rsidRPr="00724A3F">
        <w:rPr>
          <w:sz w:val="22"/>
          <w:szCs w:val="22"/>
        </w:rPr>
        <w:t xml:space="preserve"> number of renewals </w:t>
      </w:r>
      <w:r w:rsidR="00F51BAE">
        <w:rPr>
          <w:sz w:val="22"/>
          <w:szCs w:val="22"/>
        </w:rPr>
        <w:t>has stayed consistent over the past 4 years.</w:t>
      </w:r>
    </w:p>
    <w:p w14:paraId="6FF5BD54" w14:textId="77777777" w:rsidR="00873551" w:rsidRPr="00933216" w:rsidRDefault="00873551" w:rsidP="00873551">
      <w:pPr>
        <w:spacing w:after="0"/>
        <w:rPr>
          <w:b/>
          <w:bCs/>
          <w:sz w:val="24"/>
          <w:szCs w:val="24"/>
        </w:rPr>
      </w:pPr>
      <w:r w:rsidRPr="00933216">
        <w:rPr>
          <w:b/>
          <w:bCs/>
          <w:sz w:val="24"/>
          <w:szCs w:val="24"/>
        </w:rPr>
        <w:t>Fees</w:t>
      </w:r>
    </w:p>
    <w:p w14:paraId="416D383A" w14:textId="7C92529C" w:rsidR="00873551" w:rsidRDefault="00F51BAE" w:rsidP="00873551">
      <w:pPr>
        <w:mirrorIndents/>
        <w:rPr>
          <w:sz w:val="22"/>
          <w:szCs w:val="22"/>
        </w:rPr>
      </w:pPr>
      <w:r>
        <w:rPr>
          <w:sz w:val="22"/>
          <w:szCs w:val="22"/>
        </w:rPr>
        <w:t>Annual</w:t>
      </w:r>
      <w:r w:rsidR="00873551" w:rsidRPr="001714C6">
        <w:rPr>
          <w:sz w:val="22"/>
          <w:szCs w:val="22"/>
        </w:rPr>
        <w:t xml:space="preserve"> </w:t>
      </w:r>
      <w:r>
        <w:rPr>
          <w:sz w:val="22"/>
          <w:szCs w:val="22"/>
        </w:rPr>
        <w:t>operator</w:t>
      </w:r>
      <w:r w:rsidR="00D14536">
        <w:rPr>
          <w:sz w:val="22"/>
          <w:szCs w:val="22"/>
        </w:rPr>
        <w:t xml:space="preserve"> permit</w:t>
      </w:r>
      <w:r w:rsidR="00873551" w:rsidRPr="001714C6">
        <w:rPr>
          <w:sz w:val="22"/>
          <w:szCs w:val="22"/>
        </w:rPr>
        <w:t xml:space="preserve"> fees charged generate revenue for th</w:t>
      </w:r>
      <w:r w:rsidR="00873551">
        <w:rPr>
          <w:sz w:val="22"/>
          <w:szCs w:val="22"/>
        </w:rPr>
        <w:t xml:space="preserve">e </w:t>
      </w:r>
      <w:r w:rsidR="00D14536" w:rsidRPr="008C7B16">
        <w:rPr>
          <w:sz w:val="22"/>
          <w:szCs w:val="22"/>
        </w:rPr>
        <w:t xml:space="preserve">Operating Permit Fees </w:t>
      </w:r>
      <w:r w:rsidR="00873551" w:rsidRPr="001714C6">
        <w:rPr>
          <w:sz w:val="22"/>
          <w:szCs w:val="22"/>
        </w:rPr>
        <w:t xml:space="preserve">program </w:t>
      </w:r>
      <w:r w:rsidR="00873551">
        <w:rPr>
          <w:sz w:val="22"/>
          <w:szCs w:val="22"/>
        </w:rPr>
        <w:t>(</w:t>
      </w:r>
      <w:hyperlink r:id="rId33">
        <w:r w:rsidR="001943A2" w:rsidRPr="09C9F506">
          <w:rPr>
            <w:rStyle w:val="Hyperlink"/>
            <w:sz w:val="22"/>
            <w:szCs w:val="22"/>
          </w:rPr>
          <w:t>WAC 246-294-070</w:t>
        </w:r>
      </w:hyperlink>
      <w:r w:rsidR="00873551" w:rsidRPr="09C9F506">
        <w:rPr>
          <w:sz w:val="22"/>
          <w:szCs w:val="22"/>
        </w:rPr>
        <w:t>).</w:t>
      </w:r>
      <w:r w:rsidR="00873551" w:rsidRPr="00C552FD">
        <w:rPr>
          <w:sz w:val="22"/>
          <w:szCs w:val="22"/>
        </w:rPr>
        <w:t xml:space="preserve"> </w:t>
      </w:r>
      <w:r w:rsidR="00873551">
        <w:rPr>
          <w:sz w:val="22"/>
          <w:szCs w:val="22"/>
        </w:rPr>
        <w:t>The last fee change occurred in 20</w:t>
      </w:r>
      <w:r w:rsidR="00137A4F">
        <w:rPr>
          <w:sz w:val="22"/>
          <w:szCs w:val="22"/>
        </w:rPr>
        <w:t>12</w:t>
      </w:r>
      <w:r w:rsidR="00873551">
        <w:rPr>
          <w:sz w:val="22"/>
          <w:szCs w:val="22"/>
        </w:rPr>
        <w:t xml:space="preserve">, </w:t>
      </w:r>
      <w:r w:rsidR="00114018">
        <w:rPr>
          <w:sz w:val="22"/>
          <w:szCs w:val="22"/>
        </w:rPr>
        <w:t xml:space="preserve">which </w:t>
      </w:r>
      <w:r w:rsidR="00114018" w:rsidRPr="00114018">
        <w:rPr>
          <w:sz w:val="22"/>
          <w:szCs w:val="22"/>
        </w:rPr>
        <w:t>update</w:t>
      </w:r>
      <w:r w:rsidR="00114018">
        <w:rPr>
          <w:sz w:val="22"/>
          <w:szCs w:val="22"/>
        </w:rPr>
        <w:t>d</w:t>
      </w:r>
      <w:r w:rsidR="00114018" w:rsidRPr="00114018">
        <w:rPr>
          <w:sz w:val="22"/>
          <w:szCs w:val="22"/>
        </w:rPr>
        <w:t xml:space="preserve"> </w:t>
      </w:r>
      <w:r w:rsidR="00970216">
        <w:rPr>
          <w:sz w:val="22"/>
          <w:szCs w:val="22"/>
        </w:rPr>
        <w:t xml:space="preserve">the </w:t>
      </w:r>
      <w:r w:rsidR="00114018" w:rsidRPr="00114018">
        <w:rPr>
          <w:sz w:val="22"/>
          <w:szCs w:val="22"/>
        </w:rPr>
        <w:t xml:space="preserve">fee table to distribute costs to all </w:t>
      </w:r>
      <w:r w:rsidR="00114018">
        <w:rPr>
          <w:sz w:val="22"/>
          <w:szCs w:val="22"/>
        </w:rPr>
        <w:t xml:space="preserve">water systems </w:t>
      </w:r>
      <w:r w:rsidR="00114018" w:rsidRPr="00114018">
        <w:rPr>
          <w:sz w:val="22"/>
          <w:szCs w:val="22"/>
        </w:rPr>
        <w:t xml:space="preserve">based on standard charges </w:t>
      </w:r>
      <w:r w:rsidR="00114018">
        <w:rPr>
          <w:sz w:val="22"/>
          <w:szCs w:val="22"/>
        </w:rPr>
        <w:t>and number of</w:t>
      </w:r>
      <w:r w:rsidR="00114018" w:rsidRPr="00114018">
        <w:rPr>
          <w:sz w:val="22"/>
          <w:szCs w:val="22"/>
        </w:rPr>
        <w:t xml:space="preserve"> connections</w:t>
      </w:r>
      <w:r w:rsidR="00873551">
        <w:rPr>
          <w:sz w:val="22"/>
          <w:szCs w:val="22"/>
        </w:rPr>
        <w:t xml:space="preserve">. </w:t>
      </w:r>
    </w:p>
    <w:p w14:paraId="1612D487" w14:textId="77777777" w:rsidR="00873551" w:rsidRDefault="00873551" w:rsidP="09C9F506">
      <w:pPr>
        <w:pStyle w:val="NoSpacing"/>
      </w:pPr>
    </w:p>
    <w:p w14:paraId="6B6FEF25" w14:textId="77777777" w:rsidR="00873551" w:rsidRPr="00933216" w:rsidRDefault="00873551" w:rsidP="00873551">
      <w:pPr>
        <w:spacing w:after="0"/>
        <w:rPr>
          <w:b/>
          <w:bCs/>
          <w:sz w:val="24"/>
          <w:szCs w:val="24"/>
        </w:rPr>
      </w:pPr>
      <w:r w:rsidRPr="00933216">
        <w:rPr>
          <w:b/>
          <w:bCs/>
          <w:sz w:val="24"/>
          <w:szCs w:val="24"/>
        </w:rPr>
        <w:t>Expenditures</w:t>
      </w:r>
    </w:p>
    <w:p w14:paraId="40364FCF" w14:textId="60F729B9" w:rsidR="00873551" w:rsidRPr="00C45570" w:rsidRDefault="00873551" w:rsidP="00873551">
      <w:pPr>
        <w:mirrorIndents/>
        <w:rPr>
          <w:sz w:val="22"/>
          <w:szCs w:val="22"/>
        </w:rPr>
      </w:pPr>
      <w:r w:rsidRPr="00427624">
        <w:rPr>
          <w:sz w:val="22"/>
          <w:szCs w:val="22"/>
        </w:rPr>
        <w:t xml:space="preserve">Costs for </w:t>
      </w:r>
      <w:r>
        <w:rPr>
          <w:sz w:val="22"/>
          <w:szCs w:val="22"/>
        </w:rPr>
        <w:t xml:space="preserve">the </w:t>
      </w:r>
      <w:r w:rsidR="008759DA" w:rsidRPr="008C7B16">
        <w:rPr>
          <w:sz w:val="22"/>
          <w:szCs w:val="22"/>
        </w:rPr>
        <w:t xml:space="preserve">Operating Permit Fees </w:t>
      </w:r>
      <w:r w:rsidR="008759DA" w:rsidRPr="001714C6">
        <w:rPr>
          <w:sz w:val="22"/>
          <w:szCs w:val="22"/>
        </w:rPr>
        <w:t xml:space="preserve">program </w:t>
      </w:r>
      <w:r>
        <w:rPr>
          <w:sz w:val="22"/>
          <w:szCs w:val="22"/>
        </w:rPr>
        <w:t xml:space="preserve">are </w:t>
      </w:r>
      <w:r w:rsidRPr="00427624">
        <w:rPr>
          <w:sz w:val="22"/>
          <w:szCs w:val="22"/>
        </w:rPr>
        <w:t xml:space="preserve">classified into </w:t>
      </w:r>
      <w:r>
        <w:rPr>
          <w:sz w:val="22"/>
          <w:szCs w:val="22"/>
        </w:rPr>
        <w:t>three</w:t>
      </w:r>
      <w:r w:rsidRPr="00427624">
        <w:rPr>
          <w:sz w:val="22"/>
          <w:szCs w:val="22"/>
        </w:rPr>
        <w:t xml:space="preserve"> primary categories: </w:t>
      </w:r>
      <w:r>
        <w:rPr>
          <w:sz w:val="22"/>
          <w:szCs w:val="22"/>
        </w:rPr>
        <w:t>O</w:t>
      </w:r>
      <w:r w:rsidRPr="00427624">
        <w:rPr>
          <w:sz w:val="22"/>
          <w:szCs w:val="22"/>
        </w:rPr>
        <w:t>perations</w:t>
      </w:r>
      <w:r>
        <w:rPr>
          <w:sz w:val="22"/>
          <w:szCs w:val="22"/>
        </w:rPr>
        <w:t xml:space="preserve">, </w:t>
      </w:r>
      <w:r w:rsidR="002E6109">
        <w:rPr>
          <w:sz w:val="22"/>
          <w:szCs w:val="22"/>
        </w:rPr>
        <w:t xml:space="preserve">Heath Technology Services </w:t>
      </w:r>
      <w:r>
        <w:rPr>
          <w:sz w:val="22"/>
          <w:szCs w:val="22"/>
        </w:rPr>
        <w:t>(HTS)</w:t>
      </w:r>
      <w:r w:rsidRPr="00427624">
        <w:rPr>
          <w:sz w:val="22"/>
          <w:szCs w:val="22"/>
        </w:rPr>
        <w:t xml:space="preserve"> </w:t>
      </w:r>
      <w:r>
        <w:rPr>
          <w:sz w:val="22"/>
          <w:szCs w:val="22"/>
        </w:rPr>
        <w:t>and Indirect.</w:t>
      </w:r>
      <w:r w:rsidR="00EC1E05" w:rsidRPr="00EC1E05">
        <w:rPr>
          <w:noProof/>
          <w14:ligatures w14:val="none"/>
          <w14:cntxtAlts w14:val="0"/>
        </w:rPr>
        <w:t xml:space="preserve"> </w:t>
      </w:r>
      <w:r w:rsidR="00EC1E05" w:rsidRPr="00EC1E05">
        <w:rPr>
          <w:noProof/>
          <w:sz w:val="22"/>
          <w:szCs w:val="22"/>
        </w:rPr>
        <w:drawing>
          <wp:inline distT="0" distB="0" distL="0" distR="0" wp14:anchorId="6D0659B5" wp14:editId="6A712E7E">
            <wp:extent cx="5763429" cy="1324160"/>
            <wp:effectExtent l="0" t="0" r="0" b="9525"/>
            <wp:docPr id="846608809" name="Picture 1" descr="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08809" name="Picture 1" descr="Table&#10;&#10;AI-generated content may be incorrect."/>
                    <pic:cNvPicPr/>
                  </pic:nvPicPr>
                  <pic:blipFill>
                    <a:blip r:embed="rId34"/>
                    <a:stretch>
                      <a:fillRect/>
                    </a:stretch>
                  </pic:blipFill>
                  <pic:spPr>
                    <a:xfrm>
                      <a:off x="0" y="0"/>
                      <a:ext cx="5763429" cy="1324160"/>
                    </a:xfrm>
                    <a:prstGeom prst="rect">
                      <a:avLst/>
                    </a:prstGeom>
                  </pic:spPr>
                </pic:pic>
              </a:graphicData>
            </a:graphic>
          </wp:inline>
        </w:drawing>
      </w:r>
    </w:p>
    <w:p w14:paraId="753526AD" w14:textId="77777777" w:rsidR="00970216" w:rsidRDefault="00970216" w:rsidP="09C9F506">
      <w:pPr>
        <w:pStyle w:val="NoSpacing"/>
      </w:pPr>
    </w:p>
    <w:p w14:paraId="7EA08B4B" w14:textId="6E56061B" w:rsidR="00873551" w:rsidRPr="00996060" w:rsidRDefault="00873551" w:rsidP="00873551">
      <w:pPr>
        <w:spacing w:after="0"/>
        <w:rPr>
          <w:b/>
          <w:bCs/>
          <w:sz w:val="24"/>
          <w:szCs w:val="24"/>
        </w:rPr>
      </w:pPr>
      <w:r w:rsidRPr="00125C98">
        <w:rPr>
          <w:b/>
          <w:bCs/>
          <w:sz w:val="24"/>
          <w:szCs w:val="24"/>
        </w:rPr>
        <w:t>Financial Forecast</w:t>
      </w:r>
    </w:p>
    <w:p w14:paraId="700CA6F1" w14:textId="77777777" w:rsidR="00873551" w:rsidRPr="00125C98" w:rsidRDefault="00873551" w:rsidP="00873551">
      <w:pPr>
        <w:spacing w:after="0"/>
        <w:rPr>
          <w:b/>
          <w:bCs/>
          <w:sz w:val="22"/>
          <w:szCs w:val="22"/>
        </w:rPr>
      </w:pPr>
      <w:r w:rsidRPr="00125C98">
        <w:rPr>
          <w:b/>
          <w:bCs/>
          <w:sz w:val="22"/>
          <w:szCs w:val="22"/>
        </w:rPr>
        <w:t>Revenue</w:t>
      </w:r>
    </w:p>
    <w:p w14:paraId="306D5E91" w14:textId="47372475" w:rsidR="00873551" w:rsidRDefault="00873551" w:rsidP="00873551">
      <w:pPr>
        <w:mirrorIndents/>
        <w:rPr>
          <w:sz w:val="22"/>
          <w:szCs w:val="22"/>
        </w:rPr>
      </w:pPr>
      <w:r w:rsidRPr="7ECDAC8B">
        <w:rPr>
          <w:sz w:val="22"/>
          <w:szCs w:val="22"/>
        </w:rPr>
        <w:t xml:space="preserve">The Department does not anticipate any significant growth in </w:t>
      </w:r>
      <w:r w:rsidR="008759DA" w:rsidRPr="008C7B16">
        <w:rPr>
          <w:sz w:val="22"/>
          <w:szCs w:val="22"/>
        </w:rPr>
        <w:t xml:space="preserve">Operating Permit Fees </w:t>
      </w:r>
      <w:r w:rsidR="008759DA" w:rsidRPr="001714C6">
        <w:rPr>
          <w:sz w:val="22"/>
          <w:szCs w:val="22"/>
        </w:rPr>
        <w:t>program</w:t>
      </w:r>
      <w:r w:rsidRPr="7ECDAC8B">
        <w:rPr>
          <w:sz w:val="22"/>
          <w:szCs w:val="22"/>
        </w:rPr>
        <w:t xml:space="preserve"> activities over the next five years. Operations are projected to </w:t>
      </w:r>
      <w:r>
        <w:rPr>
          <w:sz w:val="22"/>
          <w:szCs w:val="22"/>
        </w:rPr>
        <w:t xml:space="preserve">maintain </w:t>
      </w:r>
      <w:r w:rsidR="008D78BC">
        <w:rPr>
          <w:sz w:val="22"/>
          <w:szCs w:val="22"/>
        </w:rPr>
        <w:t>an annual</w:t>
      </w:r>
      <w:r>
        <w:rPr>
          <w:sz w:val="22"/>
          <w:szCs w:val="22"/>
        </w:rPr>
        <w:t xml:space="preserve"> recertification cycle</w:t>
      </w:r>
      <w:r w:rsidRPr="7ECDAC8B">
        <w:rPr>
          <w:sz w:val="22"/>
          <w:szCs w:val="22"/>
        </w:rPr>
        <w:t xml:space="preserve">. The Department expects these trends to continue. </w:t>
      </w:r>
    </w:p>
    <w:p w14:paraId="6ED1B39E" w14:textId="77777777" w:rsidR="00873551" w:rsidRPr="00125C98" w:rsidRDefault="00873551" w:rsidP="00873551">
      <w:pPr>
        <w:spacing w:after="0"/>
        <w:rPr>
          <w:b/>
          <w:bCs/>
          <w:sz w:val="22"/>
          <w:szCs w:val="22"/>
        </w:rPr>
      </w:pPr>
      <w:r w:rsidRPr="00125C98">
        <w:rPr>
          <w:b/>
          <w:bCs/>
          <w:sz w:val="22"/>
          <w:szCs w:val="22"/>
        </w:rPr>
        <w:t>Expenditures</w:t>
      </w:r>
    </w:p>
    <w:p w14:paraId="7DE4B785" w14:textId="3B269D0A" w:rsidR="00873551" w:rsidRDefault="00873551" w:rsidP="00873551">
      <w:pPr>
        <w:widowControl w:val="0"/>
        <w:spacing w:line="286" w:lineRule="auto"/>
        <w:mirrorIndents/>
      </w:pPr>
      <w:r w:rsidRPr="7ECDAC8B">
        <w:rPr>
          <w:rFonts w:eastAsia="Calibri"/>
          <w:color w:val="000000" w:themeColor="text1"/>
          <w:sz w:val="22"/>
          <w:szCs w:val="22"/>
        </w:rPr>
        <w:t xml:space="preserve">The Department anticipates costs for the </w:t>
      </w:r>
      <w:r w:rsidR="008759DA" w:rsidRPr="008C7B16">
        <w:rPr>
          <w:sz w:val="22"/>
          <w:szCs w:val="22"/>
        </w:rPr>
        <w:t xml:space="preserve">Operating Permit Fees </w:t>
      </w:r>
      <w:r w:rsidR="008759DA" w:rsidRPr="001714C6">
        <w:rPr>
          <w:sz w:val="22"/>
          <w:szCs w:val="22"/>
        </w:rPr>
        <w:t xml:space="preserve">program </w:t>
      </w:r>
      <w:r w:rsidRPr="7ECDAC8B">
        <w:rPr>
          <w:rFonts w:eastAsia="Calibri"/>
          <w:color w:val="000000" w:themeColor="text1"/>
          <w:sz w:val="22"/>
          <w:szCs w:val="22"/>
        </w:rPr>
        <w:t>personnel to increase by three percent annually. Cost increases are primarily due to inflation for personnel-related costs.</w:t>
      </w:r>
      <w:r w:rsidRPr="7ECDAC8B">
        <w:rPr>
          <w:noProof/>
        </w:rPr>
        <w:t xml:space="preserve"> </w:t>
      </w:r>
      <w:r w:rsidRPr="7ECDAC8B">
        <w:rPr>
          <w:noProof/>
          <w:sz w:val="22"/>
          <w:szCs w:val="22"/>
        </w:rPr>
        <w:t xml:space="preserve">The </w:t>
      </w:r>
      <w:r w:rsidR="008759DA" w:rsidRPr="008C7B16">
        <w:rPr>
          <w:sz w:val="22"/>
          <w:szCs w:val="22"/>
        </w:rPr>
        <w:t xml:space="preserve">Operating Permit Fees </w:t>
      </w:r>
      <w:r w:rsidR="008759DA" w:rsidRPr="001714C6">
        <w:rPr>
          <w:sz w:val="22"/>
          <w:szCs w:val="22"/>
        </w:rPr>
        <w:t xml:space="preserve">program </w:t>
      </w:r>
      <w:r w:rsidRPr="7ECDAC8B">
        <w:rPr>
          <w:noProof/>
          <w:sz w:val="22"/>
          <w:szCs w:val="22"/>
        </w:rPr>
        <w:t xml:space="preserve">needs </w:t>
      </w:r>
      <w:r w:rsidRPr="7ECDAC8B">
        <w:rPr>
          <w:sz w:val="22"/>
          <w:szCs w:val="22"/>
        </w:rPr>
        <w:t>a fee adjustment to address existing program deficits, reductions in funding from the General Fund State (GFS) account</w:t>
      </w:r>
      <w:r>
        <w:rPr>
          <w:sz w:val="22"/>
          <w:szCs w:val="22"/>
        </w:rPr>
        <w:t>,</w:t>
      </w:r>
      <w:r w:rsidRPr="7ECDAC8B">
        <w:rPr>
          <w:sz w:val="22"/>
          <w:szCs w:val="22"/>
        </w:rPr>
        <w:t xml:space="preserve"> and cost-of-living adjustments made in the 2025-2027 state budget (ESSB 5167).</w:t>
      </w:r>
    </w:p>
    <w:p w14:paraId="4A6164B9" w14:textId="77777777" w:rsidR="00873551" w:rsidRPr="00125C98" w:rsidRDefault="00873551" w:rsidP="00873551">
      <w:pPr>
        <w:spacing w:after="0"/>
        <w:rPr>
          <w:b/>
          <w:bCs/>
          <w:sz w:val="22"/>
          <w:szCs w:val="22"/>
        </w:rPr>
      </w:pPr>
      <w:r w:rsidRPr="00125C98">
        <w:rPr>
          <w:b/>
          <w:bCs/>
          <w:sz w:val="22"/>
          <w:szCs w:val="22"/>
        </w:rPr>
        <w:t>Fee Reserve</w:t>
      </w:r>
    </w:p>
    <w:p w14:paraId="1561ED58" w14:textId="23E65251" w:rsidR="00873551" w:rsidRDefault="00873551" w:rsidP="00873551">
      <w:pPr>
        <w:widowControl w:val="0"/>
        <w:spacing w:line="286" w:lineRule="auto"/>
        <w:mirrorIndents/>
        <w:rPr>
          <w:rFonts w:ascii="Cambria" w:hAnsi="Cambria"/>
          <w:color w:val="2F5496" w:themeColor="accent5" w:themeShade="BF"/>
          <w:sz w:val="24"/>
          <w:szCs w:val="24"/>
        </w:rPr>
      </w:pPr>
      <w:r w:rsidRPr="7ECDAC8B">
        <w:rPr>
          <w:rFonts w:eastAsia="Calibri"/>
          <w:color w:val="000000" w:themeColor="text1"/>
          <w:sz w:val="22"/>
          <w:szCs w:val="22"/>
        </w:rPr>
        <w:t xml:space="preserve">The </w:t>
      </w:r>
      <w:r w:rsidR="008759DA" w:rsidRPr="008C7B16">
        <w:rPr>
          <w:sz w:val="22"/>
          <w:szCs w:val="22"/>
        </w:rPr>
        <w:t xml:space="preserve">Operating Permit Fees </w:t>
      </w:r>
      <w:r w:rsidR="008759DA" w:rsidRPr="001714C6">
        <w:rPr>
          <w:sz w:val="22"/>
          <w:szCs w:val="22"/>
        </w:rPr>
        <w:t xml:space="preserve">program </w:t>
      </w:r>
      <w:r w:rsidRPr="7ECDAC8B">
        <w:rPr>
          <w:rFonts w:eastAsia="Calibri"/>
          <w:color w:val="000000" w:themeColor="text1"/>
          <w:sz w:val="22"/>
          <w:szCs w:val="22"/>
        </w:rPr>
        <w:t xml:space="preserve">is not expected to generate enough revenue to cover costs over the </w:t>
      </w:r>
      <w:r w:rsidRPr="7ECDAC8B">
        <w:rPr>
          <w:rFonts w:eastAsia="Calibri"/>
          <w:color w:val="000000" w:themeColor="text1"/>
          <w:sz w:val="22"/>
          <w:szCs w:val="22"/>
        </w:rPr>
        <w:lastRenderedPageBreak/>
        <w:t>next six years</w:t>
      </w:r>
      <w:r>
        <w:rPr>
          <w:rFonts w:eastAsia="Calibri"/>
          <w:color w:val="000000" w:themeColor="text1"/>
          <w:sz w:val="22"/>
          <w:szCs w:val="22"/>
        </w:rPr>
        <w:t>,</w:t>
      </w:r>
      <w:r w:rsidRPr="7ECDAC8B">
        <w:rPr>
          <w:rFonts w:eastAsia="Calibri"/>
          <w:color w:val="000000" w:themeColor="text1"/>
          <w:sz w:val="22"/>
          <w:szCs w:val="22"/>
        </w:rPr>
        <w:t xml:space="preserve"> </w:t>
      </w:r>
      <w:r w:rsidRPr="4E3FC84D">
        <w:rPr>
          <w:rFonts w:eastAsia="Calibri"/>
          <w:color w:val="000000" w:themeColor="text1"/>
          <w:sz w:val="22"/>
          <w:szCs w:val="22"/>
        </w:rPr>
        <w:t>which includes the necessary drawdown of the reserve fee balance</w:t>
      </w:r>
      <w:r w:rsidR="00610EFB">
        <w:rPr>
          <w:rFonts w:eastAsia="Calibri"/>
          <w:color w:val="000000" w:themeColor="text1"/>
          <w:sz w:val="22"/>
          <w:szCs w:val="22"/>
        </w:rPr>
        <w:t>, projected to be depleted by FY 2026</w:t>
      </w:r>
      <w:r w:rsidR="00A71F2A">
        <w:rPr>
          <w:rFonts w:eastAsia="Calibri"/>
          <w:color w:val="000000" w:themeColor="text1"/>
          <w:sz w:val="22"/>
          <w:szCs w:val="22"/>
        </w:rPr>
        <w:t xml:space="preserve"> </w:t>
      </w:r>
      <w:r w:rsidR="0051385E">
        <w:rPr>
          <w:rFonts w:eastAsia="Calibri"/>
          <w:color w:val="000000" w:themeColor="text1"/>
          <w:sz w:val="22"/>
          <w:szCs w:val="22"/>
        </w:rPr>
        <w:t>-</w:t>
      </w:r>
      <w:r w:rsidR="00A71F2A">
        <w:rPr>
          <w:rFonts w:eastAsia="Calibri"/>
          <w:color w:val="000000" w:themeColor="text1"/>
          <w:sz w:val="22"/>
          <w:szCs w:val="22"/>
        </w:rPr>
        <w:t xml:space="preserve"> </w:t>
      </w:r>
      <w:r w:rsidR="0051385E">
        <w:rPr>
          <w:rFonts w:eastAsia="Calibri"/>
          <w:color w:val="000000" w:themeColor="text1"/>
          <w:sz w:val="22"/>
          <w:szCs w:val="22"/>
        </w:rPr>
        <w:t>FY</w:t>
      </w:r>
      <w:r w:rsidR="00970216">
        <w:rPr>
          <w:rFonts w:eastAsia="Calibri"/>
          <w:color w:val="000000" w:themeColor="text1"/>
          <w:sz w:val="22"/>
          <w:szCs w:val="22"/>
        </w:rPr>
        <w:t xml:space="preserve"> </w:t>
      </w:r>
      <w:r w:rsidR="0051385E">
        <w:rPr>
          <w:rFonts w:eastAsia="Calibri"/>
          <w:color w:val="000000" w:themeColor="text1"/>
          <w:sz w:val="22"/>
          <w:szCs w:val="22"/>
        </w:rPr>
        <w:t>2027</w:t>
      </w:r>
      <w:r w:rsidRPr="4E3FC84D">
        <w:rPr>
          <w:rFonts w:eastAsia="Calibri"/>
          <w:color w:val="000000" w:themeColor="text1"/>
          <w:sz w:val="22"/>
          <w:szCs w:val="22"/>
        </w:rPr>
        <w:t>.</w:t>
      </w:r>
    </w:p>
    <w:p w14:paraId="68DAFE2A" w14:textId="31E8528C" w:rsidR="00873551" w:rsidRDefault="00873551" w:rsidP="00873551">
      <w:pPr>
        <w:widowControl w:val="0"/>
        <w:spacing w:line="286" w:lineRule="auto"/>
        <w:mirrorIndents/>
        <w:rPr>
          <w:sz w:val="22"/>
          <w:szCs w:val="22"/>
        </w:rPr>
      </w:pPr>
      <w:r>
        <w:rPr>
          <w:sz w:val="22"/>
          <w:szCs w:val="22"/>
        </w:rPr>
        <w:t>The chart below shows actual revenue and expenditures from FY 2019 through FY 2024, and projected revenue and expenditures from FY 2025 through FY 2031.</w:t>
      </w:r>
      <w:r w:rsidR="00B95FEF" w:rsidRPr="00B95FEF">
        <w:rPr>
          <w:noProof/>
          <w14:ligatures w14:val="none"/>
          <w14:cntxtAlts w14:val="0"/>
        </w:rPr>
        <w:t xml:space="preserve"> </w:t>
      </w:r>
      <w:r w:rsidR="00B95FEF" w:rsidRPr="00B95FEF">
        <w:rPr>
          <w:noProof/>
          <w:sz w:val="22"/>
          <w:szCs w:val="22"/>
        </w:rPr>
        <w:drawing>
          <wp:inline distT="0" distB="0" distL="0" distR="0" wp14:anchorId="1D6F4B5F" wp14:editId="07CA4286">
            <wp:extent cx="5943600" cy="1911927"/>
            <wp:effectExtent l="0" t="0" r="0" b="0"/>
            <wp:docPr id="2038462506" name="Picture 1" descr="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62506" name="Picture 1" descr="Chart&#10;&#10;AI-generated content may be incorrect."/>
                    <pic:cNvPicPr/>
                  </pic:nvPicPr>
                  <pic:blipFill>
                    <a:blip r:embed="rId35"/>
                    <a:stretch>
                      <a:fillRect/>
                    </a:stretch>
                  </pic:blipFill>
                  <pic:spPr>
                    <a:xfrm>
                      <a:off x="0" y="0"/>
                      <a:ext cx="5943600" cy="1911927"/>
                    </a:xfrm>
                    <a:prstGeom prst="rect">
                      <a:avLst/>
                    </a:prstGeom>
                  </pic:spPr>
                </pic:pic>
              </a:graphicData>
            </a:graphic>
          </wp:inline>
        </w:drawing>
      </w:r>
    </w:p>
    <w:p w14:paraId="12753CC4" w14:textId="77777777" w:rsidR="00A71F2A" w:rsidRDefault="00A71F2A" w:rsidP="09C9F506">
      <w:pPr>
        <w:pStyle w:val="NoSpacing"/>
      </w:pPr>
    </w:p>
    <w:p w14:paraId="3455901D" w14:textId="5943A09B" w:rsidR="00873551" w:rsidRPr="00377CBF" w:rsidRDefault="00873551" w:rsidP="00873551">
      <w:pPr>
        <w:spacing w:after="0"/>
        <w:rPr>
          <w:b/>
          <w:bCs/>
          <w:sz w:val="24"/>
          <w:szCs w:val="24"/>
        </w:rPr>
      </w:pPr>
      <w:r w:rsidRPr="00377CBF">
        <w:rPr>
          <w:b/>
          <w:bCs/>
          <w:sz w:val="24"/>
          <w:szCs w:val="24"/>
        </w:rPr>
        <w:t xml:space="preserve">Fee Proposal </w:t>
      </w:r>
    </w:p>
    <w:p w14:paraId="13534072" w14:textId="72630EEF" w:rsidR="00E30DFE" w:rsidRPr="00873551" w:rsidRDefault="00873551" w:rsidP="00873551">
      <w:pPr>
        <w:rPr>
          <w:sz w:val="22"/>
          <w:szCs w:val="22"/>
        </w:rPr>
      </w:pPr>
      <w:r w:rsidRPr="7ECDAC8B">
        <w:rPr>
          <w:sz w:val="22"/>
          <w:szCs w:val="22"/>
        </w:rPr>
        <w:t>To address existing program deficits, reductions in funding from the General Fund State (GFS) account</w:t>
      </w:r>
      <w:r>
        <w:rPr>
          <w:sz w:val="22"/>
          <w:szCs w:val="22"/>
        </w:rPr>
        <w:t>,</w:t>
      </w:r>
      <w:r w:rsidRPr="7ECDAC8B">
        <w:rPr>
          <w:sz w:val="22"/>
          <w:szCs w:val="22"/>
        </w:rPr>
        <w:t xml:space="preserve"> and cost-of-living adjustments made in the 2025-2027 state budget (ESSB 5167), and bring the </w:t>
      </w:r>
      <w:r w:rsidR="00B70CA6" w:rsidRPr="008C7B16">
        <w:rPr>
          <w:sz w:val="22"/>
          <w:szCs w:val="22"/>
        </w:rPr>
        <w:t xml:space="preserve">Operating Permit </w:t>
      </w:r>
      <w:r w:rsidRPr="7ECDAC8B">
        <w:rPr>
          <w:sz w:val="22"/>
          <w:szCs w:val="22"/>
        </w:rPr>
        <w:t>fee balance into alignment with requirements, the following fees are proposed:</w:t>
      </w:r>
    </w:p>
    <w:tbl>
      <w:tblPr>
        <w:tblW w:w="9520" w:type="dxa"/>
        <w:tblCellMar>
          <w:top w:w="15" w:type="dxa"/>
          <w:bottom w:w="15" w:type="dxa"/>
        </w:tblCellMar>
        <w:tblLook w:val="04A0" w:firstRow="1" w:lastRow="0" w:firstColumn="1" w:lastColumn="0" w:noHBand="0" w:noVBand="1"/>
      </w:tblPr>
      <w:tblGrid>
        <w:gridCol w:w="2860"/>
        <w:gridCol w:w="2260"/>
        <w:gridCol w:w="2220"/>
        <w:gridCol w:w="2180"/>
      </w:tblGrid>
      <w:tr w:rsidR="00E30DFE" w:rsidRPr="00E30DFE" w14:paraId="4658E174" w14:textId="77777777" w:rsidTr="09C9F506">
        <w:trPr>
          <w:trHeight w:val="375"/>
        </w:trPr>
        <w:tc>
          <w:tcPr>
            <w:tcW w:w="9520" w:type="dxa"/>
            <w:gridSpan w:val="4"/>
            <w:tcBorders>
              <w:top w:val="single" w:sz="8" w:space="0" w:color="000000" w:themeColor="text1"/>
              <w:left w:val="single" w:sz="8" w:space="0" w:color="000000" w:themeColor="text1"/>
              <w:bottom w:val="nil"/>
              <w:right w:val="nil"/>
            </w:tcBorders>
            <w:shd w:val="clear" w:color="auto" w:fill="00B0F0"/>
            <w:noWrap/>
            <w:vAlign w:val="center"/>
            <w:hideMark/>
          </w:tcPr>
          <w:p w14:paraId="7BDC1D31" w14:textId="77777777" w:rsidR="00E30DFE" w:rsidRPr="00E30DFE" w:rsidRDefault="00E30DFE" w:rsidP="00E30DFE">
            <w:pPr>
              <w:spacing w:after="0" w:line="240" w:lineRule="auto"/>
              <w:jc w:val="center"/>
              <w:rPr>
                <w:b/>
                <w:bCs/>
                <w:kern w:val="0"/>
                <w:sz w:val="28"/>
                <w:szCs w:val="28"/>
                <w14:ligatures w14:val="none"/>
                <w14:cntxtAlts w14:val="0"/>
              </w:rPr>
            </w:pPr>
            <w:r w:rsidRPr="00E30DFE">
              <w:rPr>
                <w:b/>
                <w:bCs/>
                <w:kern w:val="0"/>
                <w:sz w:val="28"/>
                <w:szCs w:val="28"/>
                <w14:ligatures w14:val="none"/>
                <w14:cntxtAlts w14:val="0"/>
              </w:rPr>
              <w:t>Fee Proposal</w:t>
            </w:r>
          </w:p>
        </w:tc>
      </w:tr>
      <w:tr w:rsidR="00E30DFE" w:rsidRPr="00E30DFE" w14:paraId="2B9567BD" w14:textId="77777777" w:rsidTr="09C9F506">
        <w:trPr>
          <w:trHeight w:val="300"/>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shd w:val="clear" w:color="auto" w:fill="00B0F0"/>
            <w:noWrap/>
            <w:vAlign w:val="bottom"/>
            <w:hideMark/>
          </w:tcPr>
          <w:p w14:paraId="5ACDF455" w14:textId="77777777" w:rsidR="00E30DFE" w:rsidRPr="00E30DFE" w:rsidRDefault="00E30DFE" w:rsidP="00E30DFE">
            <w:pPr>
              <w:spacing w:after="0" w:line="240" w:lineRule="auto"/>
              <w:jc w:val="center"/>
              <w:rPr>
                <w:b/>
                <w:bCs/>
                <w:kern w:val="0"/>
                <w:sz w:val="22"/>
                <w:szCs w:val="22"/>
                <w14:ligatures w14:val="none"/>
                <w14:cntxtAlts w14:val="0"/>
              </w:rPr>
            </w:pPr>
            <w:r w:rsidRPr="00E30DFE">
              <w:rPr>
                <w:b/>
                <w:bCs/>
                <w:kern w:val="0"/>
                <w:sz w:val="22"/>
                <w:szCs w:val="22"/>
                <w14:ligatures w14:val="none"/>
                <w14:cntxtAlts w14:val="0"/>
              </w:rPr>
              <w:t>Classification</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noWrap/>
            <w:vAlign w:val="bottom"/>
            <w:hideMark/>
          </w:tcPr>
          <w:p w14:paraId="2A234EE0" w14:textId="77777777" w:rsidR="00E30DFE" w:rsidRPr="00E30DFE" w:rsidRDefault="00E30DFE" w:rsidP="00E30DFE">
            <w:pPr>
              <w:spacing w:after="0" w:line="240" w:lineRule="auto"/>
              <w:jc w:val="center"/>
              <w:rPr>
                <w:b/>
                <w:bCs/>
                <w:kern w:val="0"/>
                <w:sz w:val="22"/>
                <w:szCs w:val="22"/>
                <w14:ligatures w14:val="none"/>
                <w14:cntxtAlts w14:val="0"/>
              </w:rPr>
            </w:pPr>
            <w:r w:rsidRPr="00E30DFE">
              <w:rPr>
                <w:b/>
                <w:bCs/>
                <w:kern w:val="0"/>
                <w:sz w:val="22"/>
                <w:szCs w:val="22"/>
                <w14:ligatures w14:val="none"/>
                <w14:cntxtAlts w14:val="0"/>
              </w:rPr>
              <w:t>Current Fee</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0F0"/>
            <w:noWrap/>
            <w:vAlign w:val="bottom"/>
            <w:hideMark/>
          </w:tcPr>
          <w:p w14:paraId="2795B3BB" w14:textId="77777777" w:rsidR="00E30DFE" w:rsidRPr="00E30DFE" w:rsidRDefault="00E30DFE" w:rsidP="00E30DFE">
            <w:pPr>
              <w:spacing w:after="0" w:line="240" w:lineRule="auto"/>
              <w:jc w:val="center"/>
              <w:rPr>
                <w:b/>
                <w:bCs/>
                <w:kern w:val="0"/>
                <w:sz w:val="22"/>
                <w:szCs w:val="22"/>
                <w14:ligatures w14:val="none"/>
                <w14:cntxtAlts w14:val="0"/>
              </w:rPr>
            </w:pPr>
            <w:r w:rsidRPr="00E30DFE">
              <w:rPr>
                <w:b/>
                <w:bCs/>
                <w:kern w:val="0"/>
                <w:sz w:val="22"/>
                <w:szCs w:val="22"/>
                <w14:ligatures w14:val="none"/>
                <w14:cntxtAlts w14:val="0"/>
              </w:rPr>
              <w:t>2026 Proposed Fee</w:t>
            </w:r>
          </w:p>
        </w:tc>
        <w:tc>
          <w:tcPr>
            <w:tcW w:w="2180" w:type="dxa"/>
            <w:tcBorders>
              <w:top w:val="single" w:sz="4" w:space="0" w:color="auto"/>
              <w:left w:val="single" w:sz="4" w:space="0" w:color="auto"/>
              <w:bottom w:val="single" w:sz="4" w:space="0" w:color="auto"/>
              <w:right w:val="single" w:sz="8" w:space="0" w:color="000000" w:themeColor="text1"/>
            </w:tcBorders>
            <w:shd w:val="clear" w:color="auto" w:fill="00B0F0"/>
            <w:noWrap/>
            <w:vAlign w:val="bottom"/>
            <w:hideMark/>
          </w:tcPr>
          <w:p w14:paraId="351CC3EF" w14:textId="77777777" w:rsidR="00E30DFE" w:rsidRPr="00E30DFE" w:rsidRDefault="00E30DFE" w:rsidP="00E30DFE">
            <w:pPr>
              <w:spacing w:after="0" w:line="240" w:lineRule="auto"/>
              <w:jc w:val="center"/>
              <w:rPr>
                <w:b/>
                <w:bCs/>
                <w:kern w:val="0"/>
                <w:sz w:val="22"/>
                <w:szCs w:val="22"/>
                <w14:ligatures w14:val="none"/>
                <w14:cntxtAlts w14:val="0"/>
              </w:rPr>
            </w:pPr>
            <w:r w:rsidRPr="00E30DFE">
              <w:rPr>
                <w:b/>
                <w:bCs/>
                <w:kern w:val="0"/>
                <w:sz w:val="22"/>
                <w:szCs w:val="22"/>
                <w14:ligatures w14:val="none"/>
                <w14:cntxtAlts w14:val="0"/>
              </w:rPr>
              <w:t>2027 Proposed Fee</w:t>
            </w:r>
          </w:p>
        </w:tc>
      </w:tr>
      <w:tr w:rsidR="00E30DFE" w:rsidRPr="00E30DFE" w14:paraId="7359297F" w14:textId="77777777" w:rsidTr="09C9F506">
        <w:trPr>
          <w:trHeight w:val="300"/>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DB9952E" w14:textId="77777777" w:rsidR="00E30DFE" w:rsidRPr="00E30DFE" w:rsidRDefault="00E30DFE" w:rsidP="00E30DFE">
            <w:pPr>
              <w:spacing w:after="0" w:line="240" w:lineRule="auto"/>
              <w:rPr>
                <w:b/>
                <w:bCs/>
                <w:kern w:val="0"/>
                <w:sz w:val="22"/>
                <w:szCs w:val="22"/>
                <w14:ligatures w14:val="none"/>
                <w14:cntxtAlts w14:val="0"/>
              </w:rPr>
            </w:pPr>
            <w:r w:rsidRPr="00E30DFE">
              <w:rPr>
                <w:b/>
                <w:bCs/>
                <w:kern w:val="0"/>
                <w:sz w:val="22"/>
                <w:szCs w:val="22"/>
                <w14:ligatures w14:val="none"/>
                <w14:cntxtAlts w14:val="0"/>
              </w:rPr>
              <w:t>Base fee for all water systems</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39CBF2E"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$100.00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F5F2DC3"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 $110.00 </w:t>
            </w: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616B7AF6" w14:textId="5FA3ECD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$200</w:t>
            </w:r>
            <w:r w:rsidR="002D239A">
              <w:rPr>
                <w:kern w:val="0"/>
                <w:sz w:val="22"/>
                <w:szCs w:val="22"/>
                <w14:ligatures w14:val="none"/>
                <w14:cntxtAlts w14:val="0"/>
              </w:rPr>
              <w:t>.00</w:t>
            </w:r>
          </w:p>
        </w:tc>
      </w:tr>
      <w:tr w:rsidR="00E30DFE" w:rsidRPr="00E30DFE" w14:paraId="28095BF4" w14:textId="77777777" w:rsidTr="09C9F506">
        <w:trPr>
          <w:trHeight w:val="300"/>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E99F030" w14:textId="77777777" w:rsidR="00E30DFE" w:rsidRPr="00E30DFE" w:rsidRDefault="00E30DFE" w:rsidP="00E30DFE">
            <w:pPr>
              <w:spacing w:after="0" w:line="240" w:lineRule="auto"/>
              <w:jc w:val="center"/>
              <w:rPr>
                <w:kern w:val="0"/>
                <w:sz w:val="22"/>
                <w:szCs w:val="22"/>
                <w14:ligatures w14:val="none"/>
                <w14:cntxtAlts w14:val="0"/>
              </w:rPr>
            </w:pP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2A02F70" w14:textId="77777777" w:rsidR="00E30DFE" w:rsidRPr="00E30DFE" w:rsidRDefault="00E30DFE" w:rsidP="00E30DFE">
            <w:pPr>
              <w:spacing w:after="0" w:line="240" w:lineRule="auto"/>
              <w:rPr>
                <w:rFonts w:ascii="Times New Roman" w:hAnsi="Times New Roman" w:cs="Times New Roman"/>
                <w:color w:val="auto"/>
                <w:kern w:val="0"/>
                <w14:ligatures w14:val="none"/>
                <w14:cntxtAlts w14:val="0"/>
              </w:rPr>
            </w:pP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648B8E6" w14:textId="77777777" w:rsidR="00E30DFE" w:rsidRPr="00E30DFE" w:rsidRDefault="00E30DFE" w:rsidP="00E30DFE">
            <w:pPr>
              <w:spacing w:after="0" w:line="240" w:lineRule="auto"/>
              <w:jc w:val="center"/>
              <w:rPr>
                <w:rFonts w:ascii="Times New Roman" w:hAnsi="Times New Roman" w:cs="Times New Roman"/>
                <w:color w:val="auto"/>
                <w:kern w:val="0"/>
                <w14:ligatures w14:val="none"/>
                <w14:cntxtAlts w14:val="0"/>
              </w:rPr>
            </w:pP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6EEA27E5" w14:textId="77777777" w:rsidR="00E30DFE" w:rsidRPr="00E30DFE" w:rsidRDefault="00E30DFE" w:rsidP="00E30DFE">
            <w:pPr>
              <w:spacing w:after="0" w:line="240" w:lineRule="auto"/>
              <w:jc w:val="center"/>
              <w:rPr>
                <w:rFonts w:ascii="Times New Roman" w:hAnsi="Times New Roman" w:cs="Times New Roman"/>
                <w:color w:val="auto"/>
                <w:kern w:val="0"/>
                <w14:ligatures w14:val="none"/>
                <w14:cntxtAlts w14:val="0"/>
              </w:rPr>
            </w:pPr>
          </w:p>
        </w:tc>
      </w:tr>
      <w:tr w:rsidR="00E30DFE" w:rsidRPr="00E30DFE" w14:paraId="2F6ECEC2" w14:textId="77777777" w:rsidTr="09C9F506">
        <w:trPr>
          <w:trHeight w:val="300"/>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0A195884" w14:textId="77777777" w:rsidR="00E30DFE" w:rsidRPr="00E30DFE" w:rsidRDefault="00E30DFE" w:rsidP="00E30DFE">
            <w:pPr>
              <w:spacing w:after="0" w:line="240" w:lineRule="auto"/>
              <w:rPr>
                <w:b/>
                <w:bCs/>
                <w:kern w:val="0"/>
                <w:sz w:val="22"/>
                <w:szCs w:val="22"/>
                <w14:ligatures w14:val="none"/>
                <w14:cntxtAlts w14:val="0"/>
              </w:rPr>
            </w:pPr>
            <w:r w:rsidRPr="00E30DFE">
              <w:rPr>
                <w:b/>
                <w:bCs/>
                <w:kern w:val="0"/>
                <w:sz w:val="22"/>
                <w:szCs w:val="22"/>
                <w14:ligatures w14:val="none"/>
                <w14:cntxtAlts w14:val="0"/>
              </w:rPr>
              <w:t>Per connection fee:</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9656E43" w14:textId="77777777" w:rsidR="00E30DFE" w:rsidRPr="00E30DFE" w:rsidRDefault="00E30DFE" w:rsidP="00E30DFE">
            <w:pPr>
              <w:spacing w:after="0" w:line="240" w:lineRule="auto"/>
              <w:rPr>
                <w:b/>
                <w:bCs/>
                <w:kern w:val="0"/>
                <w:sz w:val="22"/>
                <w:szCs w:val="22"/>
                <w14:ligatures w14:val="none"/>
                <w14:cntxtAlts w14:val="0"/>
              </w:rPr>
            </w:pP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343BD8F" w14:textId="77777777" w:rsidR="00E30DFE" w:rsidRPr="00E30DFE" w:rsidRDefault="00E30DFE" w:rsidP="00E30DFE">
            <w:pPr>
              <w:spacing w:after="0" w:line="240" w:lineRule="auto"/>
              <w:jc w:val="center"/>
              <w:rPr>
                <w:rFonts w:ascii="Times New Roman" w:hAnsi="Times New Roman" w:cs="Times New Roman"/>
                <w:color w:val="auto"/>
                <w:kern w:val="0"/>
                <w14:ligatures w14:val="none"/>
                <w14:cntxtAlts w14:val="0"/>
              </w:rPr>
            </w:pP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28CBD9C9" w14:textId="77777777" w:rsidR="00E30DFE" w:rsidRPr="00E30DFE" w:rsidRDefault="00E30DFE" w:rsidP="00E30DFE">
            <w:pPr>
              <w:spacing w:after="0" w:line="240" w:lineRule="auto"/>
              <w:jc w:val="center"/>
              <w:rPr>
                <w:rFonts w:ascii="Times New Roman" w:hAnsi="Times New Roman" w:cs="Times New Roman"/>
                <w:color w:val="auto"/>
                <w:kern w:val="0"/>
                <w14:ligatures w14:val="none"/>
                <w14:cntxtAlts w14:val="0"/>
              </w:rPr>
            </w:pPr>
          </w:p>
        </w:tc>
      </w:tr>
      <w:tr w:rsidR="00E30DFE" w:rsidRPr="00E30DFE" w14:paraId="52713CA1" w14:textId="77777777" w:rsidTr="09C9F506">
        <w:trPr>
          <w:trHeight w:val="300"/>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8FEC10B" w14:textId="77777777"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14 or fewer services</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040914B"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$1.30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7812E354"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 $1.43 </w:t>
            </w: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07A7FBBD"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$1.50</w:t>
            </w:r>
          </w:p>
        </w:tc>
      </w:tr>
      <w:tr w:rsidR="00E30DFE" w:rsidRPr="00E30DFE" w14:paraId="1BEBFD0E" w14:textId="77777777" w:rsidTr="00120EEA">
        <w:trPr>
          <w:trHeight w:val="218"/>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hideMark/>
          </w:tcPr>
          <w:p w14:paraId="5D2FC474" w14:textId="7062B233"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15 - 99 services</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C90796D"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$1.25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D8EF190"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 $1.38 </w:t>
            </w: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0FD5E62D"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$1.50</w:t>
            </w:r>
          </w:p>
        </w:tc>
      </w:tr>
      <w:tr w:rsidR="00E30DFE" w:rsidRPr="00E30DFE" w14:paraId="045913CF" w14:textId="77777777" w:rsidTr="09C9F506">
        <w:trPr>
          <w:trHeight w:val="300"/>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4757B81C" w14:textId="77777777"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100 - 499 services</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B3EE297"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$1.20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6877B39"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 $1.32 </w:t>
            </w: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168EEE4F"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$1.50</w:t>
            </w:r>
          </w:p>
        </w:tc>
      </w:tr>
      <w:tr w:rsidR="00E30DFE" w:rsidRPr="00E30DFE" w14:paraId="6420A426" w14:textId="77777777" w:rsidTr="00120EEA">
        <w:trPr>
          <w:trHeight w:val="209"/>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hideMark/>
          </w:tcPr>
          <w:p w14:paraId="6859AE22" w14:textId="155B32C9"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500 - 999 services</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537A488F"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$1.15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53E799B"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 $1.27 </w:t>
            </w: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18CBF91E"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$1.50</w:t>
            </w:r>
          </w:p>
        </w:tc>
      </w:tr>
      <w:tr w:rsidR="00E30DFE" w:rsidRPr="00E30DFE" w14:paraId="04942BE8" w14:textId="77777777" w:rsidTr="00120EEA">
        <w:trPr>
          <w:trHeight w:val="254"/>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hideMark/>
          </w:tcPr>
          <w:p w14:paraId="5346451B" w14:textId="66B7FDFE"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1,000 - 9,999 services</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49D60DF3"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$1.10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33E207C2"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 $1.21 </w:t>
            </w: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01506736"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$1.50</w:t>
            </w:r>
          </w:p>
        </w:tc>
      </w:tr>
      <w:tr w:rsidR="00E30DFE" w:rsidRPr="00E30DFE" w14:paraId="4CCB7126" w14:textId="77777777" w:rsidTr="00120EEA">
        <w:trPr>
          <w:trHeight w:val="209"/>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vAlign w:val="center"/>
            <w:hideMark/>
          </w:tcPr>
          <w:p w14:paraId="436519FB" w14:textId="3B97E339"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10,000 - 95,000 services</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18A28816"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$1.05 </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2E4B7CAD"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 xml:space="preserve"> $1.16 </w:t>
            </w: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20FAB3AB"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$1.50</w:t>
            </w:r>
          </w:p>
        </w:tc>
      </w:tr>
      <w:tr w:rsidR="00E30DFE" w:rsidRPr="00E30DFE" w14:paraId="5961E707" w14:textId="77777777" w:rsidTr="09C9F506">
        <w:trPr>
          <w:trHeight w:val="300"/>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33C0AA54" w14:textId="77777777"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95,001 or more services</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01532519"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$100,000.00 per year</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bottom"/>
            <w:hideMark/>
          </w:tcPr>
          <w:p w14:paraId="6DC2D59E"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$110,000.00 per year</w:t>
            </w:r>
          </w:p>
        </w:tc>
        <w:tc>
          <w:tcPr>
            <w:tcW w:w="2180" w:type="dxa"/>
            <w:tcBorders>
              <w:top w:val="single" w:sz="4" w:space="0" w:color="auto"/>
              <w:left w:val="single" w:sz="4" w:space="0" w:color="auto"/>
              <w:bottom w:val="single" w:sz="4" w:space="0" w:color="auto"/>
              <w:right w:val="single" w:sz="8" w:space="0" w:color="000000" w:themeColor="text1"/>
            </w:tcBorders>
            <w:noWrap/>
            <w:vAlign w:val="bottom"/>
            <w:hideMark/>
          </w:tcPr>
          <w:p w14:paraId="668A0EAD" w14:textId="77777777" w:rsidR="00E30DFE" w:rsidRPr="00E30DFE" w:rsidRDefault="00E30DFE" w:rsidP="00E30DFE">
            <w:pPr>
              <w:spacing w:after="0" w:line="240" w:lineRule="auto"/>
              <w:jc w:val="center"/>
              <w:rPr>
                <w:kern w:val="0"/>
                <w:sz w:val="22"/>
                <w:szCs w:val="22"/>
                <w14:ligatures w14:val="none"/>
                <w14:cntxtAlts w14:val="0"/>
              </w:rPr>
            </w:pPr>
            <w:r w:rsidRPr="00E30DFE">
              <w:rPr>
                <w:kern w:val="0"/>
                <w:sz w:val="22"/>
                <w:szCs w:val="22"/>
                <w14:ligatures w14:val="none"/>
                <w14:cntxtAlts w14:val="0"/>
              </w:rPr>
              <w:t>$1.50</w:t>
            </w:r>
          </w:p>
        </w:tc>
      </w:tr>
      <w:tr w:rsidR="00E30DFE" w:rsidRPr="00E30DFE" w14:paraId="31C6951B" w14:textId="77777777" w:rsidTr="09C9F506">
        <w:trPr>
          <w:trHeight w:val="2475"/>
        </w:trPr>
        <w:tc>
          <w:tcPr>
            <w:tcW w:w="2860" w:type="dxa"/>
            <w:tcBorders>
              <w:top w:val="single" w:sz="4" w:space="0" w:color="000000" w:themeColor="text1"/>
              <w:left w:val="single" w:sz="8" w:space="0" w:color="000000" w:themeColor="text1"/>
              <w:bottom w:val="single" w:sz="4" w:space="0" w:color="000000" w:themeColor="text1"/>
              <w:right w:val="single" w:sz="4" w:space="0" w:color="000000" w:themeColor="text1"/>
            </w:tcBorders>
            <w:noWrap/>
            <w:vAlign w:val="center"/>
            <w:hideMark/>
          </w:tcPr>
          <w:p w14:paraId="1BE8CBC4" w14:textId="77777777"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lastRenderedPageBreak/>
              <w:t>SMA</w:t>
            </w:r>
          </w:p>
        </w:tc>
        <w:tc>
          <w:tcPr>
            <w:tcW w:w="2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DDD7F9" w14:textId="52E29988"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 xml:space="preserve">Use the per connection fee amount above to calculate the fee based on </w:t>
            </w:r>
            <w:r w:rsidR="002D239A" w:rsidRPr="00E30DFE">
              <w:rPr>
                <w:kern w:val="0"/>
                <w:sz w:val="22"/>
                <w:szCs w:val="22"/>
                <w14:ligatures w14:val="none"/>
                <w14:cntxtAlts w14:val="0"/>
              </w:rPr>
              <w:t>the total</w:t>
            </w:r>
            <w:r w:rsidRPr="00E30DFE">
              <w:rPr>
                <w:kern w:val="0"/>
                <w:sz w:val="22"/>
                <w:szCs w:val="22"/>
                <w14:ligatures w14:val="none"/>
                <w14:cntxtAlts w14:val="0"/>
              </w:rPr>
              <w:t xml:space="preserve"> number of all service connections owned plus a $100 base fee</w:t>
            </w:r>
          </w:p>
        </w:tc>
        <w:tc>
          <w:tcPr>
            <w:tcW w:w="22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B34704" w14:textId="0EC65280"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 xml:space="preserve">Use the per connection fee amount above to calculate the fee based on </w:t>
            </w:r>
            <w:r w:rsidR="002D239A" w:rsidRPr="00E30DFE">
              <w:rPr>
                <w:kern w:val="0"/>
                <w:sz w:val="22"/>
                <w:szCs w:val="22"/>
                <w14:ligatures w14:val="none"/>
                <w14:cntxtAlts w14:val="0"/>
              </w:rPr>
              <w:t>the total</w:t>
            </w:r>
            <w:r w:rsidRPr="00E30DFE">
              <w:rPr>
                <w:kern w:val="0"/>
                <w:sz w:val="22"/>
                <w:szCs w:val="22"/>
                <w14:ligatures w14:val="none"/>
                <w14:cntxtAlts w14:val="0"/>
              </w:rPr>
              <w:t xml:space="preserve"> number of all service connections owned plus a $110 base fee</w:t>
            </w:r>
          </w:p>
        </w:tc>
        <w:tc>
          <w:tcPr>
            <w:tcW w:w="2180" w:type="dxa"/>
            <w:tcBorders>
              <w:top w:val="single" w:sz="4" w:space="0" w:color="auto"/>
              <w:left w:val="single" w:sz="4" w:space="0" w:color="auto"/>
              <w:bottom w:val="single" w:sz="4" w:space="0" w:color="auto"/>
              <w:right w:val="single" w:sz="8" w:space="0" w:color="000000" w:themeColor="text1"/>
            </w:tcBorders>
            <w:vAlign w:val="center"/>
            <w:hideMark/>
          </w:tcPr>
          <w:p w14:paraId="79B8634E" w14:textId="0B25629F"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 xml:space="preserve">Use the per connection fee amount above to calculate the fee based on </w:t>
            </w:r>
            <w:r w:rsidR="002D239A">
              <w:rPr>
                <w:kern w:val="0"/>
                <w:sz w:val="22"/>
                <w:szCs w:val="22"/>
                <w14:ligatures w14:val="none"/>
                <w14:cntxtAlts w14:val="0"/>
              </w:rPr>
              <w:t xml:space="preserve">the </w:t>
            </w:r>
            <w:r w:rsidRPr="00E30DFE">
              <w:rPr>
                <w:kern w:val="0"/>
                <w:sz w:val="22"/>
                <w:szCs w:val="22"/>
                <w14:ligatures w14:val="none"/>
                <w14:cntxtAlts w14:val="0"/>
              </w:rPr>
              <w:t>total number of all service connections owned plus a $200 base fee</w:t>
            </w:r>
          </w:p>
        </w:tc>
      </w:tr>
      <w:tr w:rsidR="00E30DFE" w:rsidRPr="00E30DFE" w14:paraId="3376F426" w14:textId="77777777" w:rsidTr="09C9F506">
        <w:trPr>
          <w:trHeight w:val="1215"/>
        </w:trPr>
        <w:tc>
          <w:tcPr>
            <w:tcW w:w="2860" w:type="dxa"/>
            <w:tcBorders>
              <w:top w:val="single" w:sz="4" w:space="0" w:color="000000" w:themeColor="text1"/>
              <w:left w:val="single" w:sz="8" w:space="0" w:color="000000" w:themeColor="text1"/>
              <w:bottom w:val="single" w:sz="8" w:space="0" w:color="000000" w:themeColor="text1"/>
              <w:right w:val="single" w:sz="4" w:space="0" w:color="000000" w:themeColor="text1"/>
            </w:tcBorders>
            <w:vAlign w:val="center"/>
            <w:hideMark/>
          </w:tcPr>
          <w:p w14:paraId="2A530AB2" w14:textId="77777777"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Late fee (late fee is charged seventy days after the department mails the renewal application)</w:t>
            </w:r>
          </w:p>
        </w:tc>
        <w:tc>
          <w:tcPr>
            <w:tcW w:w="2260"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hideMark/>
          </w:tcPr>
          <w:p w14:paraId="4ECE18FE" w14:textId="77777777"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Add 10% to applicable fee or $25.00, whichever is greater</w:t>
            </w:r>
          </w:p>
        </w:tc>
        <w:tc>
          <w:tcPr>
            <w:tcW w:w="2220" w:type="dxa"/>
            <w:tcBorders>
              <w:top w:val="single" w:sz="4" w:space="0" w:color="000000" w:themeColor="text1"/>
              <w:left w:val="single" w:sz="4" w:space="0" w:color="000000" w:themeColor="text1"/>
              <w:bottom w:val="single" w:sz="8" w:space="0" w:color="000000" w:themeColor="text1"/>
              <w:right w:val="single" w:sz="4" w:space="0" w:color="000000" w:themeColor="text1"/>
            </w:tcBorders>
            <w:vAlign w:val="center"/>
            <w:hideMark/>
          </w:tcPr>
          <w:p w14:paraId="53A1A94E" w14:textId="77777777"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Add 10% to applicable fee or $27.50, whichever is greater</w:t>
            </w:r>
          </w:p>
        </w:tc>
        <w:tc>
          <w:tcPr>
            <w:tcW w:w="2180" w:type="dxa"/>
            <w:tcBorders>
              <w:top w:val="single" w:sz="4" w:space="0" w:color="auto"/>
              <w:left w:val="single" w:sz="4" w:space="0" w:color="auto"/>
              <w:bottom w:val="single" w:sz="8" w:space="0" w:color="000000" w:themeColor="text1"/>
              <w:right w:val="single" w:sz="8" w:space="0" w:color="000000" w:themeColor="text1"/>
            </w:tcBorders>
            <w:vAlign w:val="center"/>
            <w:hideMark/>
          </w:tcPr>
          <w:p w14:paraId="7BE8F7CA" w14:textId="380DEFF4" w:rsidR="00E30DFE" w:rsidRPr="00E30DFE" w:rsidRDefault="00E30DFE" w:rsidP="00E30DFE">
            <w:pPr>
              <w:spacing w:after="0" w:line="240" w:lineRule="auto"/>
              <w:rPr>
                <w:kern w:val="0"/>
                <w:sz w:val="22"/>
                <w:szCs w:val="22"/>
                <w14:ligatures w14:val="none"/>
                <w14:cntxtAlts w14:val="0"/>
              </w:rPr>
            </w:pPr>
            <w:r w:rsidRPr="00E30DFE">
              <w:rPr>
                <w:kern w:val="0"/>
                <w:sz w:val="22"/>
                <w:szCs w:val="22"/>
                <w14:ligatures w14:val="none"/>
                <w14:cntxtAlts w14:val="0"/>
              </w:rPr>
              <w:t xml:space="preserve">Add 10% to </w:t>
            </w:r>
            <w:r w:rsidR="002D239A" w:rsidRPr="00E30DFE">
              <w:rPr>
                <w:kern w:val="0"/>
                <w:sz w:val="22"/>
                <w:szCs w:val="22"/>
                <w14:ligatures w14:val="none"/>
                <w14:cntxtAlts w14:val="0"/>
              </w:rPr>
              <w:t>the applicable</w:t>
            </w:r>
            <w:r w:rsidRPr="00E30DFE">
              <w:rPr>
                <w:kern w:val="0"/>
                <w:sz w:val="22"/>
                <w:szCs w:val="22"/>
                <w14:ligatures w14:val="none"/>
                <w14:cntxtAlts w14:val="0"/>
              </w:rPr>
              <w:t xml:space="preserve"> fee or $50.00, whichever is greater</w:t>
            </w:r>
          </w:p>
        </w:tc>
      </w:tr>
    </w:tbl>
    <w:p w14:paraId="51866FDE" w14:textId="2F8EC61E" w:rsidR="00873551" w:rsidRPr="00873551" w:rsidRDefault="00873551" w:rsidP="09C9F506">
      <w:pPr>
        <w:pStyle w:val="NoSpacing"/>
      </w:pPr>
    </w:p>
    <w:p w14:paraId="2D7E6E7E" w14:textId="2B449E43" w:rsidR="00873551" w:rsidRDefault="00873551" w:rsidP="00873551">
      <w:pPr>
        <w:mirrorIndents/>
        <w:rPr>
          <w:sz w:val="22"/>
          <w:szCs w:val="22"/>
        </w:rPr>
      </w:pPr>
      <w:r w:rsidRPr="7ECDAC8B">
        <w:rPr>
          <w:sz w:val="22"/>
          <w:szCs w:val="22"/>
        </w:rPr>
        <w:t xml:space="preserve">This proposal allows the Department to </w:t>
      </w:r>
      <w:r w:rsidR="003607E5">
        <w:rPr>
          <w:sz w:val="22"/>
          <w:szCs w:val="22"/>
        </w:rPr>
        <w:t xml:space="preserve">increase </w:t>
      </w:r>
      <w:r w:rsidR="0018780D">
        <w:rPr>
          <w:sz w:val="22"/>
          <w:szCs w:val="22"/>
        </w:rPr>
        <w:t xml:space="preserve">the </w:t>
      </w:r>
      <w:r w:rsidRPr="7ECDAC8B">
        <w:rPr>
          <w:sz w:val="22"/>
          <w:szCs w:val="22"/>
        </w:rPr>
        <w:t>cover</w:t>
      </w:r>
      <w:r w:rsidR="0018780D">
        <w:rPr>
          <w:sz w:val="22"/>
          <w:szCs w:val="22"/>
        </w:rPr>
        <w:t>age amount of</w:t>
      </w:r>
      <w:r w:rsidRPr="7ECDAC8B">
        <w:rPr>
          <w:sz w:val="22"/>
          <w:szCs w:val="22"/>
        </w:rPr>
        <w:t xml:space="preserve"> the </w:t>
      </w:r>
      <w:r w:rsidR="008759DA" w:rsidRPr="008C7B16">
        <w:rPr>
          <w:sz w:val="22"/>
          <w:szCs w:val="22"/>
        </w:rPr>
        <w:t xml:space="preserve">Operating Permit Fees </w:t>
      </w:r>
      <w:r w:rsidR="008759DA" w:rsidRPr="001714C6">
        <w:rPr>
          <w:sz w:val="22"/>
          <w:szCs w:val="22"/>
        </w:rPr>
        <w:t xml:space="preserve">program </w:t>
      </w:r>
      <w:r w:rsidRPr="7ECDAC8B">
        <w:rPr>
          <w:sz w:val="22"/>
          <w:szCs w:val="22"/>
        </w:rPr>
        <w:t xml:space="preserve">expenditures </w:t>
      </w:r>
      <w:r w:rsidR="001046FA">
        <w:rPr>
          <w:sz w:val="22"/>
          <w:szCs w:val="22"/>
        </w:rPr>
        <w:t xml:space="preserve">but will require </w:t>
      </w:r>
      <w:r w:rsidR="007057BB">
        <w:rPr>
          <w:sz w:val="22"/>
          <w:szCs w:val="22"/>
        </w:rPr>
        <w:t xml:space="preserve">GFS </w:t>
      </w:r>
      <w:r w:rsidR="001046FA">
        <w:rPr>
          <w:sz w:val="22"/>
          <w:szCs w:val="22"/>
        </w:rPr>
        <w:t xml:space="preserve">subsidy </w:t>
      </w:r>
      <w:r w:rsidR="007057BB">
        <w:rPr>
          <w:sz w:val="22"/>
          <w:szCs w:val="22"/>
        </w:rPr>
        <w:t>to meet the federal funding match requirements by FY</w:t>
      </w:r>
      <w:r w:rsidR="00A71F2A">
        <w:rPr>
          <w:sz w:val="22"/>
          <w:szCs w:val="22"/>
        </w:rPr>
        <w:t xml:space="preserve"> </w:t>
      </w:r>
      <w:r w:rsidR="007057BB">
        <w:rPr>
          <w:sz w:val="22"/>
          <w:szCs w:val="22"/>
        </w:rPr>
        <w:t>2028</w:t>
      </w:r>
      <w:r>
        <w:rPr>
          <w:sz w:val="22"/>
          <w:szCs w:val="22"/>
        </w:rPr>
        <w:t>.</w:t>
      </w:r>
      <w:r w:rsidRPr="7ECDAC8B">
        <w:rPr>
          <w:sz w:val="22"/>
          <w:szCs w:val="22"/>
        </w:rPr>
        <w:t xml:space="preserve"> </w:t>
      </w:r>
    </w:p>
    <w:p w14:paraId="66619F41" w14:textId="77777777" w:rsidR="00873551" w:rsidRPr="008C181A" w:rsidRDefault="00873551" w:rsidP="00873551">
      <w:pPr>
        <w:mirrorIndents/>
        <w:rPr>
          <w:vanish/>
          <w:sz w:val="22"/>
          <w:szCs w:val="22"/>
          <w:specVanish/>
        </w:rPr>
      </w:pPr>
      <w:r w:rsidRPr="7ECDAC8B">
        <w:rPr>
          <w:sz w:val="22"/>
          <w:szCs w:val="22"/>
        </w:rPr>
        <w:t>The chart below shows actual and projected revenue and expenditures for current and proposed fees from FY 2019 through FY 2031.</w:t>
      </w:r>
      <w:r>
        <w:rPr>
          <w:sz w:val="22"/>
          <w:szCs w:val="22"/>
        </w:rPr>
        <w:t xml:space="preserve"> </w:t>
      </w:r>
    </w:p>
    <w:p w14:paraId="4A276564" w14:textId="2237AE11" w:rsidR="00873551" w:rsidRDefault="00873551" w:rsidP="00873551">
      <w:pPr>
        <w:mirrorIndents/>
        <w:rPr>
          <w:sz w:val="22"/>
          <w:szCs w:val="22"/>
        </w:rPr>
      </w:pPr>
      <w:r>
        <w:rPr>
          <w:sz w:val="22"/>
          <w:szCs w:val="22"/>
        </w:rPr>
        <w:t xml:space="preserve"> </w:t>
      </w:r>
      <w:r w:rsidR="00FD70EB" w:rsidRPr="00FD70EB">
        <w:rPr>
          <w:noProof/>
          <w:sz w:val="22"/>
          <w:szCs w:val="22"/>
        </w:rPr>
        <w:drawing>
          <wp:inline distT="0" distB="0" distL="0" distR="0" wp14:anchorId="4D1D82FD" wp14:editId="1BCCF134">
            <wp:extent cx="5943600" cy="2093595"/>
            <wp:effectExtent l="0" t="0" r="0" b="1905"/>
            <wp:docPr id="1867320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320082" name=""/>
                    <pic:cNvPicPr/>
                  </pic:nvPicPr>
                  <pic:blipFill>
                    <a:blip r:embed="rId36"/>
                    <a:stretch>
                      <a:fillRect/>
                    </a:stretch>
                  </pic:blipFill>
                  <pic:spPr>
                    <a:xfrm>
                      <a:off x="0" y="0"/>
                      <a:ext cx="5943600" cy="2093595"/>
                    </a:xfrm>
                    <a:prstGeom prst="rect">
                      <a:avLst/>
                    </a:prstGeom>
                  </pic:spPr>
                </pic:pic>
              </a:graphicData>
            </a:graphic>
          </wp:inline>
        </w:drawing>
      </w:r>
    </w:p>
    <w:p w14:paraId="778ED9BF" w14:textId="2BF1C322" w:rsidR="00C94766" w:rsidRDefault="00873551" w:rsidP="00873551">
      <w:pPr>
        <w:spacing w:after="0"/>
        <w:mirrorIndents/>
        <w:rPr>
          <w:sz w:val="22"/>
          <w:szCs w:val="22"/>
        </w:rPr>
      </w:pPr>
      <w:r>
        <w:rPr>
          <w:sz w:val="22"/>
          <w:szCs w:val="22"/>
        </w:rPr>
        <w:t xml:space="preserve">The </w:t>
      </w:r>
      <w:r w:rsidR="00A71F2A" w:rsidRPr="09C9F506">
        <w:rPr>
          <w:sz w:val="22"/>
          <w:szCs w:val="22"/>
        </w:rPr>
        <w:t>D</w:t>
      </w:r>
      <w:r w:rsidRPr="09C9F506">
        <w:rPr>
          <w:sz w:val="22"/>
          <w:szCs w:val="22"/>
        </w:rPr>
        <w:t>epartment</w:t>
      </w:r>
      <w:r>
        <w:rPr>
          <w:sz w:val="22"/>
          <w:szCs w:val="22"/>
        </w:rPr>
        <w:t xml:space="preserve"> will continue to monitor the financial health of the </w:t>
      </w:r>
      <w:r w:rsidR="008759DA" w:rsidRPr="008C7B16">
        <w:rPr>
          <w:sz w:val="22"/>
          <w:szCs w:val="22"/>
        </w:rPr>
        <w:t xml:space="preserve">Operating Permit Fees </w:t>
      </w:r>
      <w:r w:rsidR="008759DA" w:rsidRPr="001714C6">
        <w:rPr>
          <w:sz w:val="22"/>
          <w:szCs w:val="22"/>
        </w:rPr>
        <w:t xml:space="preserve">program </w:t>
      </w:r>
      <w:r>
        <w:rPr>
          <w:sz w:val="22"/>
          <w:szCs w:val="22"/>
        </w:rPr>
        <w:t>over a six-year outlook and propose fee adjustments as needed to comply with statutory requirements.</w:t>
      </w:r>
    </w:p>
    <w:sectPr w:rsidR="00C94766">
      <w:headerReference w:type="default" r:id="rId37"/>
      <w:foot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0CFD3" w14:textId="77777777" w:rsidR="00274A01" w:rsidRDefault="00274A01" w:rsidP="0067053B">
      <w:pPr>
        <w:spacing w:after="0" w:line="240" w:lineRule="auto"/>
      </w:pPr>
      <w:r>
        <w:separator/>
      </w:r>
    </w:p>
  </w:endnote>
  <w:endnote w:type="continuationSeparator" w:id="0">
    <w:p w14:paraId="396489DB" w14:textId="77777777" w:rsidR="00274A01" w:rsidRDefault="00274A01" w:rsidP="0067053B">
      <w:pPr>
        <w:spacing w:after="0" w:line="240" w:lineRule="auto"/>
      </w:pPr>
      <w:r>
        <w:continuationSeparator/>
      </w:r>
    </w:p>
  </w:endnote>
  <w:endnote w:type="continuationNotice" w:id="1">
    <w:p w14:paraId="3EE5505C" w14:textId="77777777" w:rsidR="00274A01" w:rsidRDefault="00274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1981863"/>
      <w:docPartObj>
        <w:docPartGallery w:val="Page Numbers (Bottom of Page)"/>
        <w:docPartUnique/>
      </w:docPartObj>
    </w:sdtPr>
    <w:sdtEndPr>
      <w:rPr>
        <w:noProof/>
      </w:rPr>
    </w:sdtEndPr>
    <w:sdtContent>
      <w:p w14:paraId="421AD3AC" w14:textId="5403207B" w:rsidR="007A480A" w:rsidRDefault="007A48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A73DB" w14:textId="77777777" w:rsidR="00A20B08" w:rsidRDefault="00A2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B4C97" w14:textId="77777777" w:rsidR="00274A01" w:rsidRDefault="00274A01" w:rsidP="0067053B">
      <w:pPr>
        <w:spacing w:after="0" w:line="240" w:lineRule="auto"/>
      </w:pPr>
      <w:r>
        <w:separator/>
      </w:r>
    </w:p>
  </w:footnote>
  <w:footnote w:type="continuationSeparator" w:id="0">
    <w:p w14:paraId="5A21DDC2" w14:textId="77777777" w:rsidR="00274A01" w:rsidRDefault="00274A01" w:rsidP="0067053B">
      <w:pPr>
        <w:spacing w:after="0" w:line="240" w:lineRule="auto"/>
      </w:pPr>
      <w:r>
        <w:continuationSeparator/>
      </w:r>
    </w:p>
  </w:footnote>
  <w:footnote w:type="continuationNotice" w:id="1">
    <w:p w14:paraId="5B154AD8" w14:textId="77777777" w:rsidR="00274A01" w:rsidRDefault="00274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4955760"/>
      <w:docPartObj>
        <w:docPartGallery w:val="Watermarks"/>
        <w:docPartUnique/>
      </w:docPartObj>
    </w:sdtPr>
    <w:sdtEndPr/>
    <w:sdtContent>
      <w:p w14:paraId="08CA3102" w14:textId="15B54F79" w:rsidR="008E4C38" w:rsidRDefault="00E07FD8">
        <w:pPr>
          <w:pStyle w:val="Header"/>
        </w:pPr>
        <w:r>
          <w:rPr>
            <w:noProof/>
          </w:rPr>
          <w:pict w14:anchorId="33B28F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4373D"/>
    <w:multiLevelType w:val="hybridMultilevel"/>
    <w:tmpl w:val="4F7E2084"/>
    <w:lvl w:ilvl="0" w:tplc="3FAAD7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C7185"/>
    <w:multiLevelType w:val="hybridMultilevel"/>
    <w:tmpl w:val="DA08E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15BB3"/>
    <w:multiLevelType w:val="hybridMultilevel"/>
    <w:tmpl w:val="023C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01821"/>
    <w:multiLevelType w:val="hybridMultilevel"/>
    <w:tmpl w:val="3E688252"/>
    <w:lvl w:ilvl="0" w:tplc="209A14AA">
      <w:start w:val="1"/>
      <w:numFmt w:val="decimal"/>
      <w:lvlText w:val="%1."/>
      <w:lvlJc w:val="left"/>
      <w:pPr>
        <w:ind w:left="720" w:hanging="360"/>
      </w:pPr>
      <w:rPr>
        <w:rFonts w:ascii="Calibri" w:hAnsi="Calibri" w:cs="Calibri" w:hint="default"/>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A547121"/>
    <w:multiLevelType w:val="hybridMultilevel"/>
    <w:tmpl w:val="A03CC9C0"/>
    <w:lvl w:ilvl="0" w:tplc="7276A418">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3E0C0C"/>
    <w:multiLevelType w:val="hybridMultilevel"/>
    <w:tmpl w:val="970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391070">
    <w:abstractNumId w:val="4"/>
  </w:num>
  <w:num w:numId="2" w16cid:durableId="684132595">
    <w:abstractNumId w:val="2"/>
  </w:num>
  <w:num w:numId="3" w16cid:durableId="203567163">
    <w:abstractNumId w:val="1"/>
  </w:num>
  <w:num w:numId="4" w16cid:durableId="6812778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4956155">
    <w:abstractNumId w:val="5"/>
  </w:num>
  <w:num w:numId="6" w16cid:durableId="52324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303"/>
    <w:rsid w:val="00000B42"/>
    <w:rsid w:val="00000F66"/>
    <w:rsid w:val="00001027"/>
    <w:rsid w:val="0000208D"/>
    <w:rsid w:val="00002DE8"/>
    <w:rsid w:val="000039D1"/>
    <w:rsid w:val="00003B6D"/>
    <w:rsid w:val="0000451F"/>
    <w:rsid w:val="000060C3"/>
    <w:rsid w:val="000072F7"/>
    <w:rsid w:val="000075F8"/>
    <w:rsid w:val="0001171A"/>
    <w:rsid w:val="00011C41"/>
    <w:rsid w:val="00013F43"/>
    <w:rsid w:val="00015269"/>
    <w:rsid w:val="00015464"/>
    <w:rsid w:val="00016965"/>
    <w:rsid w:val="00017DD0"/>
    <w:rsid w:val="00020B62"/>
    <w:rsid w:val="00021F6E"/>
    <w:rsid w:val="0002444F"/>
    <w:rsid w:val="00024B38"/>
    <w:rsid w:val="00024D45"/>
    <w:rsid w:val="00027347"/>
    <w:rsid w:val="00027A27"/>
    <w:rsid w:val="000302C1"/>
    <w:rsid w:val="000312A7"/>
    <w:rsid w:val="00031A80"/>
    <w:rsid w:val="00031B26"/>
    <w:rsid w:val="000343BD"/>
    <w:rsid w:val="00034B09"/>
    <w:rsid w:val="00034EE0"/>
    <w:rsid w:val="000353BE"/>
    <w:rsid w:val="00037165"/>
    <w:rsid w:val="000406A9"/>
    <w:rsid w:val="000407D1"/>
    <w:rsid w:val="00040A64"/>
    <w:rsid w:val="0004116B"/>
    <w:rsid w:val="00041218"/>
    <w:rsid w:val="000413C3"/>
    <w:rsid w:val="00041413"/>
    <w:rsid w:val="00041A02"/>
    <w:rsid w:val="00041D5B"/>
    <w:rsid w:val="00043E44"/>
    <w:rsid w:val="00044724"/>
    <w:rsid w:val="0004511C"/>
    <w:rsid w:val="00045550"/>
    <w:rsid w:val="00045A64"/>
    <w:rsid w:val="00045C4C"/>
    <w:rsid w:val="000466D2"/>
    <w:rsid w:val="00046B14"/>
    <w:rsid w:val="000478C9"/>
    <w:rsid w:val="00050E71"/>
    <w:rsid w:val="00050EDF"/>
    <w:rsid w:val="00051161"/>
    <w:rsid w:val="000511EC"/>
    <w:rsid w:val="00051532"/>
    <w:rsid w:val="00051B8E"/>
    <w:rsid w:val="00051FA9"/>
    <w:rsid w:val="000528E9"/>
    <w:rsid w:val="00052985"/>
    <w:rsid w:val="0005314F"/>
    <w:rsid w:val="0005379D"/>
    <w:rsid w:val="00054C35"/>
    <w:rsid w:val="000551A6"/>
    <w:rsid w:val="00056F31"/>
    <w:rsid w:val="000575EA"/>
    <w:rsid w:val="00057B92"/>
    <w:rsid w:val="00060F45"/>
    <w:rsid w:val="00061C1B"/>
    <w:rsid w:val="000630A0"/>
    <w:rsid w:val="00064743"/>
    <w:rsid w:val="000656AE"/>
    <w:rsid w:val="000657F2"/>
    <w:rsid w:val="00066361"/>
    <w:rsid w:val="00066BF5"/>
    <w:rsid w:val="00067840"/>
    <w:rsid w:val="00071327"/>
    <w:rsid w:val="00074989"/>
    <w:rsid w:val="000764C6"/>
    <w:rsid w:val="00076B05"/>
    <w:rsid w:val="00077544"/>
    <w:rsid w:val="00080762"/>
    <w:rsid w:val="00081C5E"/>
    <w:rsid w:val="00082AC7"/>
    <w:rsid w:val="000832FC"/>
    <w:rsid w:val="00083470"/>
    <w:rsid w:val="000850AA"/>
    <w:rsid w:val="000872D6"/>
    <w:rsid w:val="0008BDD0"/>
    <w:rsid w:val="00090149"/>
    <w:rsid w:val="00091783"/>
    <w:rsid w:val="00092C86"/>
    <w:rsid w:val="00094DDE"/>
    <w:rsid w:val="00095617"/>
    <w:rsid w:val="00095A16"/>
    <w:rsid w:val="00097D2E"/>
    <w:rsid w:val="000A0B85"/>
    <w:rsid w:val="000A182E"/>
    <w:rsid w:val="000A1845"/>
    <w:rsid w:val="000A2F2F"/>
    <w:rsid w:val="000A309D"/>
    <w:rsid w:val="000A3436"/>
    <w:rsid w:val="000A3BBD"/>
    <w:rsid w:val="000A47F8"/>
    <w:rsid w:val="000A4F18"/>
    <w:rsid w:val="000A7367"/>
    <w:rsid w:val="000A7976"/>
    <w:rsid w:val="000B2086"/>
    <w:rsid w:val="000B284A"/>
    <w:rsid w:val="000B28E3"/>
    <w:rsid w:val="000B2D9C"/>
    <w:rsid w:val="000B3CAA"/>
    <w:rsid w:val="000B4C68"/>
    <w:rsid w:val="000B520B"/>
    <w:rsid w:val="000B5E46"/>
    <w:rsid w:val="000C2AC8"/>
    <w:rsid w:val="000C39FA"/>
    <w:rsid w:val="000C4000"/>
    <w:rsid w:val="000C5391"/>
    <w:rsid w:val="000C58C5"/>
    <w:rsid w:val="000C6D5D"/>
    <w:rsid w:val="000C778C"/>
    <w:rsid w:val="000C7B24"/>
    <w:rsid w:val="000C7C71"/>
    <w:rsid w:val="000D030B"/>
    <w:rsid w:val="000D122D"/>
    <w:rsid w:val="000D1349"/>
    <w:rsid w:val="000D31E1"/>
    <w:rsid w:val="000D3C6B"/>
    <w:rsid w:val="000D4171"/>
    <w:rsid w:val="000D5821"/>
    <w:rsid w:val="000E0097"/>
    <w:rsid w:val="000E0472"/>
    <w:rsid w:val="000E123C"/>
    <w:rsid w:val="000E27EA"/>
    <w:rsid w:val="000E287B"/>
    <w:rsid w:val="000E2F1E"/>
    <w:rsid w:val="000E43B8"/>
    <w:rsid w:val="000E53A5"/>
    <w:rsid w:val="000E75BE"/>
    <w:rsid w:val="000E7BEB"/>
    <w:rsid w:val="000E7CE2"/>
    <w:rsid w:val="000F0DFD"/>
    <w:rsid w:val="000F0F06"/>
    <w:rsid w:val="000F17B7"/>
    <w:rsid w:val="000F3CB8"/>
    <w:rsid w:val="000F4262"/>
    <w:rsid w:val="000F4E48"/>
    <w:rsid w:val="000F5E6F"/>
    <w:rsid w:val="000F6479"/>
    <w:rsid w:val="000F64CE"/>
    <w:rsid w:val="000F6A51"/>
    <w:rsid w:val="001001C1"/>
    <w:rsid w:val="00100EE6"/>
    <w:rsid w:val="00100F43"/>
    <w:rsid w:val="00101138"/>
    <w:rsid w:val="00104641"/>
    <w:rsid w:val="001046FA"/>
    <w:rsid w:val="0010490B"/>
    <w:rsid w:val="00104F05"/>
    <w:rsid w:val="0010520E"/>
    <w:rsid w:val="00107571"/>
    <w:rsid w:val="001077A4"/>
    <w:rsid w:val="00107A18"/>
    <w:rsid w:val="00110084"/>
    <w:rsid w:val="00112A8F"/>
    <w:rsid w:val="00112B0F"/>
    <w:rsid w:val="00112F78"/>
    <w:rsid w:val="00114018"/>
    <w:rsid w:val="001148CD"/>
    <w:rsid w:val="0011513F"/>
    <w:rsid w:val="00116A86"/>
    <w:rsid w:val="00116B32"/>
    <w:rsid w:val="00117CAB"/>
    <w:rsid w:val="00120EEA"/>
    <w:rsid w:val="00121D0F"/>
    <w:rsid w:val="00121D87"/>
    <w:rsid w:val="00121EE9"/>
    <w:rsid w:val="00122806"/>
    <w:rsid w:val="001245CE"/>
    <w:rsid w:val="0012494E"/>
    <w:rsid w:val="00124B35"/>
    <w:rsid w:val="00124B53"/>
    <w:rsid w:val="00125C98"/>
    <w:rsid w:val="00126C14"/>
    <w:rsid w:val="00127E44"/>
    <w:rsid w:val="00130C6B"/>
    <w:rsid w:val="00131EC3"/>
    <w:rsid w:val="00132250"/>
    <w:rsid w:val="00132809"/>
    <w:rsid w:val="00133CE6"/>
    <w:rsid w:val="00134FC6"/>
    <w:rsid w:val="00136016"/>
    <w:rsid w:val="001366F4"/>
    <w:rsid w:val="00137A4F"/>
    <w:rsid w:val="00140153"/>
    <w:rsid w:val="00141309"/>
    <w:rsid w:val="0014132D"/>
    <w:rsid w:val="00141363"/>
    <w:rsid w:val="001428F1"/>
    <w:rsid w:val="00143030"/>
    <w:rsid w:val="001435DB"/>
    <w:rsid w:val="00143F80"/>
    <w:rsid w:val="00143FB8"/>
    <w:rsid w:val="00144167"/>
    <w:rsid w:val="00144714"/>
    <w:rsid w:val="00145390"/>
    <w:rsid w:val="00146258"/>
    <w:rsid w:val="0014639D"/>
    <w:rsid w:val="001465CF"/>
    <w:rsid w:val="00146630"/>
    <w:rsid w:val="00146CBE"/>
    <w:rsid w:val="00150C26"/>
    <w:rsid w:val="00150EDF"/>
    <w:rsid w:val="0015134C"/>
    <w:rsid w:val="00151A4B"/>
    <w:rsid w:val="00151F2C"/>
    <w:rsid w:val="00152CE3"/>
    <w:rsid w:val="00154A01"/>
    <w:rsid w:val="00155C55"/>
    <w:rsid w:val="0015679E"/>
    <w:rsid w:val="00156BDD"/>
    <w:rsid w:val="00156BEC"/>
    <w:rsid w:val="00157195"/>
    <w:rsid w:val="00157AA1"/>
    <w:rsid w:val="00162554"/>
    <w:rsid w:val="0016268E"/>
    <w:rsid w:val="001627F0"/>
    <w:rsid w:val="00165201"/>
    <w:rsid w:val="00165EAB"/>
    <w:rsid w:val="00166381"/>
    <w:rsid w:val="00166858"/>
    <w:rsid w:val="001672E3"/>
    <w:rsid w:val="001705CC"/>
    <w:rsid w:val="001714C6"/>
    <w:rsid w:val="00171FE3"/>
    <w:rsid w:val="0017333D"/>
    <w:rsid w:val="0017494C"/>
    <w:rsid w:val="00175666"/>
    <w:rsid w:val="00176B35"/>
    <w:rsid w:val="00182667"/>
    <w:rsid w:val="001826E3"/>
    <w:rsid w:val="001827B6"/>
    <w:rsid w:val="001838F7"/>
    <w:rsid w:val="00184517"/>
    <w:rsid w:val="00184FAC"/>
    <w:rsid w:val="001850C7"/>
    <w:rsid w:val="00186E4F"/>
    <w:rsid w:val="0018780D"/>
    <w:rsid w:val="00187E24"/>
    <w:rsid w:val="00191DBC"/>
    <w:rsid w:val="00191E57"/>
    <w:rsid w:val="00192897"/>
    <w:rsid w:val="00192B52"/>
    <w:rsid w:val="001933C3"/>
    <w:rsid w:val="00193C35"/>
    <w:rsid w:val="00194169"/>
    <w:rsid w:val="0019418E"/>
    <w:rsid w:val="001943A2"/>
    <w:rsid w:val="00194DE4"/>
    <w:rsid w:val="00195225"/>
    <w:rsid w:val="00196144"/>
    <w:rsid w:val="001962F6"/>
    <w:rsid w:val="00196FAB"/>
    <w:rsid w:val="00197029"/>
    <w:rsid w:val="001973D2"/>
    <w:rsid w:val="001A1FDB"/>
    <w:rsid w:val="001A29FD"/>
    <w:rsid w:val="001A4926"/>
    <w:rsid w:val="001A4EE1"/>
    <w:rsid w:val="001A55E3"/>
    <w:rsid w:val="001A5611"/>
    <w:rsid w:val="001A6B0B"/>
    <w:rsid w:val="001A6CCE"/>
    <w:rsid w:val="001B0360"/>
    <w:rsid w:val="001B0818"/>
    <w:rsid w:val="001B0936"/>
    <w:rsid w:val="001B09A0"/>
    <w:rsid w:val="001B0ACB"/>
    <w:rsid w:val="001B3019"/>
    <w:rsid w:val="001B35B9"/>
    <w:rsid w:val="001B58AA"/>
    <w:rsid w:val="001B5A8F"/>
    <w:rsid w:val="001B5FFB"/>
    <w:rsid w:val="001B7117"/>
    <w:rsid w:val="001B7539"/>
    <w:rsid w:val="001B7C17"/>
    <w:rsid w:val="001C1AB3"/>
    <w:rsid w:val="001C31F7"/>
    <w:rsid w:val="001C3A26"/>
    <w:rsid w:val="001C407A"/>
    <w:rsid w:val="001C4875"/>
    <w:rsid w:val="001C5071"/>
    <w:rsid w:val="001C6022"/>
    <w:rsid w:val="001C682C"/>
    <w:rsid w:val="001C7A90"/>
    <w:rsid w:val="001D0EA4"/>
    <w:rsid w:val="001D149D"/>
    <w:rsid w:val="001D2FCF"/>
    <w:rsid w:val="001D4190"/>
    <w:rsid w:val="001D431A"/>
    <w:rsid w:val="001D448E"/>
    <w:rsid w:val="001D4F2B"/>
    <w:rsid w:val="001D7CE2"/>
    <w:rsid w:val="001E2D50"/>
    <w:rsid w:val="001E4A29"/>
    <w:rsid w:val="001E5221"/>
    <w:rsid w:val="001E5B0E"/>
    <w:rsid w:val="001E5EEF"/>
    <w:rsid w:val="001E610A"/>
    <w:rsid w:val="001E6141"/>
    <w:rsid w:val="001E72C5"/>
    <w:rsid w:val="001E74DA"/>
    <w:rsid w:val="001E752A"/>
    <w:rsid w:val="001E77FE"/>
    <w:rsid w:val="001E7953"/>
    <w:rsid w:val="001E7DC6"/>
    <w:rsid w:val="001E7E6D"/>
    <w:rsid w:val="001F1156"/>
    <w:rsid w:val="001F2571"/>
    <w:rsid w:val="001F2EF7"/>
    <w:rsid w:val="001F30F5"/>
    <w:rsid w:val="001F428F"/>
    <w:rsid w:val="001F596A"/>
    <w:rsid w:val="001F6048"/>
    <w:rsid w:val="001F685E"/>
    <w:rsid w:val="001F767C"/>
    <w:rsid w:val="001F7E04"/>
    <w:rsid w:val="001F7EFF"/>
    <w:rsid w:val="002002FD"/>
    <w:rsid w:val="00200BE8"/>
    <w:rsid w:val="00201200"/>
    <w:rsid w:val="002022FE"/>
    <w:rsid w:val="002037CB"/>
    <w:rsid w:val="00204262"/>
    <w:rsid w:val="002048C5"/>
    <w:rsid w:val="00206053"/>
    <w:rsid w:val="00206066"/>
    <w:rsid w:val="00206CFA"/>
    <w:rsid w:val="00206E33"/>
    <w:rsid w:val="002071C7"/>
    <w:rsid w:val="00207C4B"/>
    <w:rsid w:val="00207C62"/>
    <w:rsid w:val="00210B80"/>
    <w:rsid w:val="002111CB"/>
    <w:rsid w:val="00213081"/>
    <w:rsid w:val="00213A7B"/>
    <w:rsid w:val="00213BE9"/>
    <w:rsid w:val="002141E6"/>
    <w:rsid w:val="00215277"/>
    <w:rsid w:val="00215510"/>
    <w:rsid w:val="00215CA2"/>
    <w:rsid w:val="00215EF3"/>
    <w:rsid w:val="0021643D"/>
    <w:rsid w:val="002165C9"/>
    <w:rsid w:val="002168DA"/>
    <w:rsid w:val="00217707"/>
    <w:rsid w:val="0022090A"/>
    <w:rsid w:val="00222D72"/>
    <w:rsid w:val="00222DD2"/>
    <w:rsid w:val="002247E5"/>
    <w:rsid w:val="00224A88"/>
    <w:rsid w:val="00224C53"/>
    <w:rsid w:val="00225503"/>
    <w:rsid w:val="00225DF0"/>
    <w:rsid w:val="00225DF5"/>
    <w:rsid w:val="00226EE1"/>
    <w:rsid w:val="0022778B"/>
    <w:rsid w:val="00227A47"/>
    <w:rsid w:val="00230FB8"/>
    <w:rsid w:val="00231342"/>
    <w:rsid w:val="002329E4"/>
    <w:rsid w:val="00233588"/>
    <w:rsid w:val="0023569C"/>
    <w:rsid w:val="00237190"/>
    <w:rsid w:val="002403BB"/>
    <w:rsid w:val="00242863"/>
    <w:rsid w:val="00242E0A"/>
    <w:rsid w:val="00242FDF"/>
    <w:rsid w:val="00244ABF"/>
    <w:rsid w:val="0024553F"/>
    <w:rsid w:val="00245830"/>
    <w:rsid w:val="00247D2D"/>
    <w:rsid w:val="00251460"/>
    <w:rsid w:val="0025201D"/>
    <w:rsid w:val="00252F12"/>
    <w:rsid w:val="002531CC"/>
    <w:rsid w:val="00253CB4"/>
    <w:rsid w:val="00256B42"/>
    <w:rsid w:val="00257034"/>
    <w:rsid w:val="0026028D"/>
    <w:rsid w:val="00261F0C"/>
    <w:rsid w:val="002621AD"/>
    <w:rsid w:val="00262BA8"/>
    <w:rsid w:val="00266A25"/>
    <w:rsid w:val="00266DF4"/>
    <w:rsid w:val="00267674"/>
    <w:rsid w:val="002708F1"/>
    <w:rsid w:val="002711E1"/>
    <w:rsid w:val="00272181"/>
    <w:rsid w:val="002722A0"/>
    <w:rsid w:val="00272432"/>
    <w:rsid w:val="00274A01"/>
    <w:rsid w:val="00275B60"/>
    <w:rsid w:val="00275CAF"/>
    <w:rsid w:val="00275E2F"/>
    <w:rsid w:val="00276499"/>
    <w:rsid w:val="00277CF1"/>
    <w:rsid w:val="00281248"/>
    <w:rsid w:val="002817B3"/>
    <w:rsid w:val="002821A0"/>
    <w:rsid w:val="00282CA9"/>
    <w:rsid w:val="002832C7"/>
    <w:rsid w:val="00283A4F"/>
    <w:rsid w:val="00283FD5"/>
    <w:rsid w:val="00285979"/>
    <w:rsid w:val="00285CF0"/>
    <w:rsid w:val="00285FCC"/>
    <w:rsid w:val="002860DA"/>
    <w:rsid w:val="0028642F"/>
    <w:rsid w:val="00290253"/>
    <w:rsid w:val="00290C19"/>
    <w:rsid w:val="00291E91"/>
    <w:rsid w:val="0029270D"/>
    <w:rsid w:val="002928AF"/>
    <w:rsid w:val="002934CA"/>
    <w:rsid w:val="00295D78"/>
    <w:rsid w:val="00297ACA"/>
    <w:rsid w:val="002A0054"/>
    <w:rsid w:val="002A0306"/>
    <w:rsid w:val="002A23A2"/>
    <w:rsid w:val="002A277C"/>
    <w:rsid w:val="002A2D16"/>
    <w:rsid w:val="002A4822"/>
    <w:rsid w:val="002A4A0B"/>
    <w:rsid w:val="002A5F3B"/>
    <w:rsid w:val="002A744C"/>
    <w:rsid w:val="002B01FD"/>
    <w:rsid w:val="002B1445"/>
    <w:rsid w:val="002B3092"/>
    <w:rsid w:val="002B4F7C"/>
    <w:rsid w:val="002B673B"/>
    <w:rsid w:val="002B6882"/>
    <w:rsid w:val="002B7A70"/>
    <w:rsid w:val="002C0BAD"/>
    <w:rsid w:val="002C0FC6"/>
    <w:rsid w:val="002C147D"/>
    <w:rsid w:val="002C28D3"/>
    <w:rsid w:val="002C44CD"/>
    <w:rsid w:val="002C47CF"/>
    <w:rsid w:val="002C4B24"/>
    <w:rsid w:val="002C7844"/>
    <w:rsid w:val="002D0818"/>
    <w:rsid w:val="002D1B11"/>
    <w:rsid w:val="002D1DEF"/>
    <w:rsid w:val="002D239A"/>
    <w:rsid w:val="002D256D"/>
    <w:rsid w:val="002D3949"/>
    <w:rsid w:val="002D3AFC"/>
    <w:rsid w:val="002D3C29"/>
    <w:rsid w:val="002D3E35"/>
    <w:rsid w:val="002D47AD"/>
    <w:rsid w:val="002D4E22"/>
    <w:rsid w:val="002D6208"/>
    <w:rsid w:val="002D6C6F"/>
    <w:rsid w:val="002D73DE"/>
    <w:rsid w:val="002D73F9"/>
    <w:rsid w:val="002D74CB"/>
    <w:rsid w:val="002D7B5E"/>
    <w:rsid w:val="002D7C43"/>
    <w:rsid w:val="002E0D48"/>
    <w:rsid w:val="002E15A2"/>
    <w:rsid w:val="002E181C"/>
    <w:rsid w:val="002E1DA8"/>
    <w:rsid w:val="002E270F"/>
    <w:rsid w:val="002E2A77"/>
    <w:rsid w:val="002E2AFA"/>
    <w:rsid w:val="002E3069"/>
    <w:rsid w:val="002E3EDE"/>
    <w:rsid w:val="002E4BCD"/>
    <w:rsid w:val="002E5701"/>
    <w:rsid w:val="002E6109"/>
    <w:rsid w:val="002E62B5"/>
    <w:rsid w:val="002E719C"/>
    <w:rsid w:val="002F15BA"/>
    <w:rsid w:val="002F2F09"/>
    <w:rsid w:val="002F4004"/>
    <w:rsid w:val="002F5618"/>
    <w:rsid w:val="002F5A1E"/>
    <w:rsid w:val="002F7420"/>
    <w:rsid w:val="002F74FB"/>
    <w:rsid w:val="00300310"/>
    <w:rsid w:val="003018A4"/>
    <w:rsid w:val="003025CC"/>
    <w:rsid w:val="00302D31"/>
    <w:rsid w:val="00303224"/>
    <w:rsid w:val="00303941"/>
    <w:rsid w:val="003042E9"/>
    <w:rsid w:val="00304B2E"/>
    <w:rsid w:val="0030582E"/>
    <w:rsid w:val="003060F6"/>
    <w:rsid w:val="0030696B"/>
    <w:rsid w:val="00306F16"/>
    <w:rsid w:val="0031009C"/>
    <w:rsid w:val="00311A4D"/>
    <w:rsid w:val="00311FBB"/>
    <w:rsid w:val="003132FA"/>
    <w:rsid w:val="00313BD2"/>
    <w:rsid w:val="00316702"/>
    <w:rsid w:val="0031746D"/>
    <w:rsid w:val="00320501"/>
    <w:rsid w:val="00321377"/>
    <w:rsid w:val="00321915"/>
    <w:rsid w:val="00321C26"/>
    <w:rsid w:val="00322C9C"/>
    <w:rsid w:val="00323502"/>
    <w:rsid w:val="003252D4"/>
    <w:rsid w:val="0032684C"/>
    <w:rsid w:val="00327AFD"/>
    <w:rsid w:val="00330521"/>
    <w:rsid w:val="00331D5C"/>
    <w:rsid w:val="0033399A"/>
    <w:rsid w:val="00333E1C"/>
    <w:rsid w:val="00334415"/>
    <w:rsid w:val="003364E1"/>
    <w:rsid w:val="00336E2C"/>
    <w:rsid w:val="00340BE9"/>
    <w:rsid w:val="00340F2D"/>
    <w:rsid w:val="0034209C"/>
    <w:rsid w:val="003429BD"/>
    <w:rsid w:val="00342CD6"/>
    <w:rsid w:val="00342DE7"/>
    <w:rsid w:val="00343AF4"/>
    <w:rsid w:val="003441AD"/>
    <w:rsid w:val="003443F0"/>
    <w:rsid w:val="0034442B"/>
    <w:rsid w:val="00344E91"/>
    <w:rsid w:val="00345B74"/>
    <w:rsid w:val="003464FD"/>
    <w:rsid w:val="00346E3E"/>
    <w:rsid w:val="00346EE2"/>
    <w:rsid w:val="003470CA"/>
    <w:rsid w:val="00347F08"/>
    <w:rsid w:val="003528F6"/>
    <w:rsid w:val="00353764"/>
    <w:rsid w:val="00353FFF"/>
    <w:rsid w:val="00354427"/>
    <w:rsid w:val="00354728"/>
    <w:rsid w:val="00354B82"/>
    <w:rsid w:val="00354BC4"/>
    <w:rsid w:val="00355C06"/>
    <w:rsid w:val="00355E0F"/>
    <w:rsid w:val="003563BA"/>
    <w:rsid w:val="003566C8"/>
    <w:rsid w:val="003600AC"/>
    <w:rsid w:val="003607E5"/>
    <w:rsid w:val="003614A8"/>
    <w:rsid w:val="0036210C"/>
    <w:rsid w:val="00362E3A"/>
    <w:rsid w:val="00362ECC"/>
    <w:rsid w:val="00364C15"/>
    <w:rsid w:val="00364ED0"/>
    <w:rsid w:val="003665D4"/>
    <w:rsid w:val="003666B7"/>
    <w:rsid w:val="003672A8"/>
    <w:rsid w:val="0037001A"/>
    <w:rsid w:val="003729FE"/>
    <w:rsid w:val="003730EE"/>
    <w:rsid w:val="00374F42"/>
    <w:rsid w:val="003750A6"/>
    <w:rsid w:val="00375DCF"/>
    <w:rsid w:val="00376705"/>
    <w:rsid w:val="003767BB"/>
    <w:rsid w:val="00377A59"/>
    <w:rsid w:val="00377CBF"/>
    <w:rsid w:val="00380646"/>
    <w:rsid w:val="0038187A"/>
    <w:rsid w:val="00381B08"/>
    <w:rsid w:val="00381EC3"/>
    <w:rsid w:val="00382A14"/>
    <w:rsid w:val="003837D8"/>
    <w:rsid w:val="00383819"/>
    <w:rsid w:val="00384C29"/>
    <w:rsid w:val="00384D4D"/>
    <w:rsid w:val="003858B3"/>
    <w:rsid w:val="0038623C"/>
    <w:rsid w:val="003867A8"/>
    <w:rsid w:val="00387E9F"/>
    <w:rsid w:val="00390058"/>
    <w:rsid w:val="00390198"/>
    <w:rsid w:val="003905AC"/>
    <w:rsid w:val="00391765"/>
    <w:rsid w:val="00392C21"/>
    <w:rsid w:val="0039318F"/>
    <w:rsid w:val="00393CC8"/>
    <w:rsid w:val="00395543"/>
    <w:rsid w:val="003957D5"/>
    <w:rsid w:val="00396454"/>
    <w:rsid w:val="00396928"/>
    <w:rsid w:val="0039749D"/>
    <w:rsid w:val="00397606"/>
    <w:rsid w:val="0039785F"/>
    <w:rsid w:val="003A2137"/>
    <w:rsid w:val="003A307C"/>
    <w:rsid w:val="003A422E"/>
    <w:rsid w:val="003A4473"/>
    <w:rsid w:val="003A550B"/>
    <w:rsid w:val="003A5D8F"/>
    <w:rsid w:val="003A6CD1"/>
    <w:rsid w:val="003A76EC"/>
    <w:rsid w:val="003B089F"/>
    <w:rsid w:val="003B1836"/>
    <w:rsid w:val="003B1898"/>
    <w:rsid w:val="003B4169"/>
    <w:rsid w:val="003B6719"/>
    <w:rsid w:val="003B6C56"/>
    <w:rsid w:val="003B7ABF"/>
    <w:rsid w:val="003C07D3"/>
    <w:rsid w:val="003C1810"/>
    <w:rsid w:val="003C1812"/>
    <w:rsid w:val="003C2FD5"/>
    <w:rsid w:val="003C3E52"/>
    <w:rsid w:val="003C50F6"/>
    <w:rsid w:val="003C7080"/>
    <w:rsid w:val="003C7BA9"/>
    <w:rsid w:val="003C7ED9"/>
    <w:rsid w:val="003D1CFC"/>
    <w:rsid w:val="003D2369"/>
    <w:rsid w:val="003D31A7"/>
    <w:rsid w:val="003D427B"/>
    <w:rsid w:val="003D4856"/>
    <w:rsid w:val="003D6478"/>
    <w:rsid w:val="003D6FF2"/>
    <w:rsid w:val="003D7FB3"/>
    <w:rsid w:val="003E037E"/>
    <w:rsid w:val="003E0512"/>
    <w:rsid w:val="003E0800"/>
    <w:rsid w:val="003E19E9"/>
    <w:rsid w:val="003E208F"/>
    <w:rsid w:val="003E2DAB"/>
    <w:rsid w:val="003E4AB7"/>
    <w:rsid w:val="003E5AA1"/>
    <w:rsid w:val="003E62F5"/>
    <w:rsid w:val="003E70F0"/>
    <w:rsid w:val="003E7C6A"/>
    <w:rsid w:val="003F0541"/>
    <w:rsid w:val="003F2049"/>
    <w:rsid w:val="003F21EB"/>
    <w:rsid w:val="003F26EE"/>
    <w:rsid w:val="003F2898"/>
    <w:rsid w:val="003F4A7F"/>
    <w:rsid w:val="003F4C38"/>
    <w:rsid w:val="003F5724"/>
    <w:rsid w:val="003F57A3"/>
    <w:rsid w:val="003F6B74"/>
    <w:rsid w:val="0040049F"/>
    <w:rsid w:val="00404608"/>
    <w:rsid w:val="00404C10"/>
    <w:rsid w:val="00406D6C"/>
    <w:rsid w:val="00406DE2"/>
    <w:rsid w:val="00406F0D"/>
    <w:rsid w:val="00407554"/>
    <w:rsid w:val="00407F25"/>
    <w:rsid w:val="0041003B"/>
    <w:rsid w:val="00410406"/>
    <w:rsid w:val="00411C65"/>
    <w:rsid w:val="00412261"/>
    <w:rsid w:val="00412311"/>
    <w:rsid w:val="004133C9"/>
    <w:rsid w:val="00413D86"/>
    <w:rsid w:val="004140E3"/>
    <w:rsid w:val="00414E54"/>
    <w:rsid w:val="004157EF"/>
    <w:rsid w:val="00415AA8"/>
    <w:rsid w:val="004169D9"/>
    <w:rsid w:val="00416E71"/>
    <w:rsid w:val="004215C6"/>
    <w:rsid w:val="00424265"/>
    <w:rsid w:val="0042434F"/>
    <w:rsid w:val="00424A88"/>
    <w:rsid w:val="00424D0F"/>
    <w:rsid w:val="00425C24"/>
    <w:rsid w:val="00425DA5"/>
    <w:rsid w:val="00426241"/>
    <w:rsid w:val="00427624"/>
    <w:rsid w:val="0043020D"/>
    <w:rsid w:val="004305EE"/>
    <w:rsid w:val="004306E2"/>
    <w:rsid w:val="004312CF"/>
    <w:rsid w:val="004313E5"/>
    <w:rsid w:val="004329A7"/>
    <w:rsid w:val="00432C92"/>
    <w:rsid w:val="00432E94"/>
    <w:rsid w:val="00433375"/>
    <w:rsid w:val="0043419B"/>
    <w:rsid w:val="00436A3F"/>
    <w:rsid w:val="00440D01"/>
    <w:rsid w:val="00440DF7"/>
    <w:rsid w:val="00441000"/>
    <w:rsid w:val="004422FD"/>
    <w:rsid w:val="00442A89"/>
    <w:rsid w:val="00442FFF"/>
    <w:rsid w:val="0044321E"/>
    <w:rsid w:val="004439BE"/>
    <w:rsid w:val="004452C2"/>
    <w:rsid w:val="0044538D"/>
    <w:rsid w:val="00446102"/>
    <w:rsid w:val="004461D4"/>
    <w:rsid w:val="00450A61"/>
    <w:rsid w:val="00450D50"/>
    <w:rsid w:val="004521DB"/>
    <w:rsid w:val="004530CF"/>
    <w:rsid w:val="00454A6A"/>
    <w:rsid w:val="0045581D"/>
    <w:rsid w:val="004563B3"/>
    <w:rsid w:val="004570AA"/>
    <w:rsid w:val="00457381"/>
    <w:rsid w:val="00457434"/>
    <w:rsid w:val="0046020E"/>
    <w:rsid w:val="00460D26"/>
    <w:rsid w:val="00462B4D"/>
    <w:rsid w:val="0046397F"/>
    <w:rsid w:val="00464077"/>
    <w:rsid w:val="00464AE5"/>
    <w:rsid w:val="004657B5"/>
    <w:rsid w:val="00467826"/>
    <w:rsid w:val="004678CC"/>
    <w:rsid w:val="00471834"/>
    <w:rsid w:val="0047189C"/>
    <w:rsid w:val="004736B5"/>
    <w:rsid w:val="00474BF4"/>
    <w:rsid w:val="00475956"/>
    <w:rsid w:val="00475E76"/>
    <w:rsid w:val="004772BD"/>
    <w:rsid w:val="0048028B"/>
    <w:rsid w:val="0048106E"/>
    <w:rsid w:val="004819B4"/>
    <w:rsid w:val="004845CE"/>
    <w:rsid w:val="00484C7C"/>
    <w:rsid w:val="00484CFB"/>
    <w:rsid w:val="0048521C"/>
    <w:rsid w:val="00485CB1"/>
    <w:rsid w:val="004862E9"/>
    <w:rsid w:val="00487652"/>
    <w:rsid w:val="00490176"/>
    <w:rsid w:val="00490AF5"/>
    <w:rsid w:val="00491708"/>
    <w:rsid w:val="00491803"/>
    <w:rsid w:val="004918AF"/>
    <w:rsid w:val="00492475"/>
    <w:rsid w:val="00492B86"/>
    <w:rsid w:val="00493956"/>
    <w:rsid w:val="00493985"/>
    <w:rsid w:val="0049427F"/>
    <w:rsid w:val="00494479"/>
    <w:rsid w:val="00494572"/>
    <w:rsid w:val="00494AB4"/>
    <w:rsid w:val="00494C03"/>
    <w:rsid w:val="00495787"/>
    <w:rsid w:val="00496EB8"/>
    <w:rsid w:val="00497625"/>
    <w:rsid w:val="004A0726"/>
    <w:rsid w:val="004A1831"/>
    <w:rsid w:val="004A711D"/>
    <w:rsid w:val="004A7C81"/>
    <w:rsid w:val="004B1F4F"/>
    <w:rsid w:val="004B2162"/>
    <w:rsid w:val="004B2DF6"/>
    <w:rsid w:val="004B4C79"/>
    <w:rsid w:val="004B52CE"/>
    <w:rsid w:val="004B60E3"/>
    <w:rsid w:val="004B7E6C"/>
    <w:rsid w:val="004C01BE"/>
    <w:rsid w:val="004C19DF"/>
    <w:rsid w:val="004C1C5A"/>
    <w:rsid w:val="004C52C8"/>
    <w:rsid w:val="004C59A6"/>
    <w:rsid w:val="004C64DE"/>
    <w:rsid w:val="004C6E89"/>
    <w:rsid w:val="004C7641"/>
    <w:rsid w:val="004C7A46"/>
    <w:rsid w:val="004D0349"/>
    <w:rsid w:val="004D1F6E"/>
    <w:rsid w:val="004D3279"/>
    <w:rsid w:val="004D562C"/>
    <w:rsid w:val="004D5A9B"/>
    <w:rsid w:val="004D6F13"/>
    <w:rsid w:val="004DB168"/>
    <w:rsid w:val="004E0E95"/>
    <w:rsid w:val="004E0FB9"/>
    <w:rsid w:val="004E16B6"/>
    <w:rsid w:val="004E1C76"/>
    <w:rsid w:val="004E1F08"/>
    <w:rsid w:val="004E237B"/>
    <w:rsid w:val="004E2523"/>
    <w:rsid w:val="004E31C3"/>
    <w:rsid w:val="004E423F"/>
    <w:rsid w:val="004E4371"/>
    <w:rsid w:val="004E5742"/>
    <w:rsid w:val="004E5FE3"/>
    <w:rsid w:val="004E7893"/>
    <w:rsid w:val="004F0DB6"/>
    <w:rsid w:val="004F251B"/>
    <w:rsid w:val="004F25DD"/>
    <w:rsid w:val="004F4939"/>
    <w:rsid w:val="004F4D5F"/>
    <w:rsid w:val="004F4EDC"/>
    <w:rsid w:val="004F5376"/>
    <w:rsid w:val="004F71E0"/>
    <w:rsid w:val="004F7712"/>
    <w:rsid w:val="005001DA"/>
    <w:rsid w:val="00500BDA"/>
    <w:rsid w:val="00501F02"/>
    <w:rsid w:val="00502C57"/>
    <w:rsid w:val="005051B3"/>
    <w:rsid w:val="005052F5"/>
    <w:rsid w:val="00505508"/>
    <w:rsid w:val="005060C4"/>
    <w:rsid w:val="005063C2"/>
    <w:rsid w:val="0050735C"/>
    <w:rsid w:val="00510BD6"/>
    <w:rsid w:val="00510C08"/>
    <w:rsid w:val="00513522"/>
    <w:rsid w:val="0051385E"/>
    <w:rsid w:val="005145CB"/>
    <w:rsid w:val="00516599"/>
    <w:rsid w:val="00517DB3"/>
    <w:rsid w:val="00521077"/>
    <w:rsid w:val="00522A89"/>
    <w:rsid w:val="00522FA3"/>
    <w:rsid w:val="005235AE"/>
    <w:rsid w:val="00524523"/>
    <w:rsid w:val="00524D5D"/>
    <w:rsid w:val="0052514F"/>
    <w:rsid w:val="00526038"/>
    <w:rsid w:val="005267E6"/>
    <w:rsid w:val="005279A9"/>
    <w:rsid w:val="005279BD"/>
    <w:rsid w:val="00530268"/>
    <w:rsid w:val="005307D4"/>
    <w:rsid w:val="00531922"/>
    <w:rsid w:val="00531B2D"/>
    <w:rsid w:val="00531DE6"/>
    <w:rsid w:val="0053385F"/>
    <w:rsid w:val="005338C2"/>
    <w:rsid w:val="00533ED0"/>
    <w:rsid w:val="005347DB"/>
    <w:rsid w:val="005350A7"/>
    <w:rsid w:val="005366AD"/>
    <w:rsid w:val="00536E79"/>
    <w:rsid w:val="00540038"/>
    <w:rsid w:val="00540CB8"/>
    <w:rsid w:val="00541137"/>
    <w:rsid w:val="00541BFC"/>
    <w:rsid w:val="0054224E"/>
    <w:rsid w:val="00543EF6"/>
    <w:rsid w:val="00544541"/>
    <w:rsid w:val="00544593"/>
    <w:rsid w:val="005448B4"/>
    <w:rsid w:val="00544E21"/>
    <w:rsid w:val="0054636A"/>
    <w:rsid w:val="00546958"/>
    <w:rsid w:val="00550328"/>
    <w:rsid w:val="0055185F"/>
    <w:rsid w:val="00551862"/>
    <w:rsid w:val="00552CCC"/>
    <w:rsid w:val="00553045"/>
    <w:rsid w:val="0055402E"/>
    <w:rsid w:val="0055421D"/>
    <w:rsid w:val="00554A94"/>
    <w:rsid w:val="0056000B"/>
    <w:rsid w:val="0056006D"/>
    <w:rsid w:val="00560245"/>
    <w:rsid w:val="00560916"/>
    <w:rsid w:val="00560A9B"/>
    <w:rsid w:val="00560EBE"/>
    <w:rsid w:val="00562D48"/>
    <w:rsid w:val="00563203"/>
    <w:rsid w:val="00565B09"/>
    <w:rsid w:val="005676CA"/>
    <w:rsid w:val="005677C0"/>
    <w:rsid w:val="00567A6F"/>
    <w:rsid w:val="00567A71"/>
    <w:rsid w:val="00567DAE"/>
    <w:rsid w:val="0057047D"/>
    <w:rsid w:val="00571162"/>
    <w:rsid w:val="00571ED1"/>
    <w:rsid w:val="0057277E"/>
    <w:rsid w:val="005728D0"/>
    <w:rsid w:val="0057340C"/>
    <w:rsid w:val="0057490E"/>
    <w:rsid w:val="0057578F"/>
    <w:rsid w:val="005778B8"/>
    <w:rsid w:val="00577C96"/>
    <w:rsid w:val="0058046C"/>
    <w:rsid w:val="00580C71"/>
    <w:rsid w:val="005811B6"/>
    <w:rsid w:val="00581228"/>
    <w:rsid w:val="005813F9"/>
    <w:rsid w:val="0058256A"/>
    <w:rsid w:val="00582DC6"/>
    <w:rsid w:val="00582EE7"/>
    <w:rsid w:val="0058364B"/>
    <w:rsid w:val="00583B03"/>
    <w:rsid w:val="00584570"/>
    <w:rsid w:val="005853FB"/>
    <w:rsid w:val="00585CF9"/>
    <w:rsid w:val="005867F2"/>
    <w:rsid w:val="005878A7"/>
    <w:rsid w:val="00592E91"/>
    <w:rsid w:val="00592FDD"/>
    <w:rsid w:val="00593B0B"/>
    <w:rsid w:val="005942EF"/>
    <w:rsid w:val="00594499"/>
    <w:rsid w:val="005959B6"/>
    <w:rsid w:val="00595DD9"/>
    <w:rsid w:val="005963D3"/>
    <w:rsid w:val="00597331"/>
    <w:rsid w:val="005A1191"/>
    <w:rsid w:val="005A1B8F"/>
    <w:rsid w:val="005A1EB5"/>
    <w:rsid w:val="005A206D"/>
    <w:rsid w:val="005A22B5"/>
    <w:rsid w:val="005A2E90"/>
    <w:rsid w:val="005A3E62"/>
    <w:rsid w:val="005A5889"/>
    <w:rsid w:val="005A5941"/>
    <w:rsid w:val="005A787E"/>
    <w:rsid w:val="005A7ABB"/>
    <w:rsid w:val="005A7AFC"/>
    <w:rsid w:val="005A7FE9"/>
    <w:rsid w:val="005B0894"/>
    <w:rsid w:val="005B2997"/>
    <w:rsid w:val="005B2EB1"/>
    <w:rsid w:val="005B3749"/>
    <w:rsid w:val="005B64D0"/>
    <w:rsid w:val="005B6615"/>
    <w:rsid w:val="005B6A15"/>
    <w:rsid w:val="005B7413"/>
    <w:rsid w:val="005C07C5"/>
    <w:rsid w:val="005C148A"/>
    <w:rsid w:val="005C1836"/>
    <w:rsid w:val="005C1847"/>
    <w:rsid w:val="005C215F"/>
    <w:rsid w:val="005C2940"/>
    <w:rsid w:val="005C35E1"/>
    <w:rsid w:val="005C5037"/>
    <w:rsid w:val="005C6387"/>
    <w:rsid w:val="005C669C"/>
    <w:rsid w:val="005C6765"/>
    <w:rsid w:val="005C6ABB"/>
    <w:rsid w:val="005C6BA4"/>
    <w:rsid w:val="005C7676"/>
    <w:rsid w:val="005C7715"/>
    <w:rsid w:val="005C7BBA"/>
    <w:rsid w:val="005D0DFC"/>
    <w:rsid w:val="005D158A"/>
    <w:rsid w:val="005D16A5"/>
    <w:rsid w:val="005D199A"/>
    <w:rsid w:val="005D1E80"/>
    <w:rsid w:val="005D2945"/>
    <w:rsid w:val="005D3C76"/>
    <w:rsid w:val="005D547C"/>
    <w:rsid w:val="005D56E9"/>
    <w:rsid w:val="005D66B2"/>
    <w:rsid w:val="005D73D4"/>
    <w:rsid w:val="005E1F7A"/>
    <w:rsid w:val="005E30CF"/>
    <w:rsid w:val="005E61E3"/>
    <w:rsid w:val="005E6544"/>
    <w:rsid w:val="005E7278"/>
    <w:rsid w:val="005E72B8"/>
    <w:rsid w:val="005E745A"/>
    <w:rsid w:val="005F4122"/>
    <w:rsid w:val="005F4300"/>
    <w:rsid w:val="005F5460"/>
    <w:rsid w:val="005F651C"/>
    <w:rsid w:val="005F6C97"/>
    <w:rsid w:val="005F6CA2"/>
    <w:rsid w:val="006007A9"/>
    <w:rsid w:val="00600D2E"/>
    <w:rsid w:val="00601672"/>
    <w:rsid w:val="00602B4B"/>
    <w:rsid w:val="00602FC3"/>
    <w:rsid w:val="0060372C"/>
    <w:rsid w:val="00603B0D"/>
    <w:rsid w:val="00603DAF"/>
    <w:rsid w:val="00603F6D"/>
    <w:rsid w:val="00605746"/>
    <w:rsid w:val="00605BF0"/>
    <w:rsid w:val="00605F88"/>
    <w:rsid w:val="006078BF"/>
    <w:rsid w:val="00610D1F"/>
    <w:rsid w:val="00610EFB"/>
    <w:rsid w:val="00610FA8"/>
    <w:rsid w:val="0061155F"/>
    <w:rsid w:val="00611682"/>
    <w:rsid w:val="006126F1"/>
    <w:rsid w:val="006167E6"/>
    <w:rsid w:val="00616B2A"/>
    <w:rsid w:val="00617197"/>
    <w:rsid w:val="00621820"/>
    <w:rsid w:val="00622C91"/>
    <w:rsid w:val="00623EAE"/>
    <w:rsid w:val="006248F9"/>
    <w:rsid w:val="00625ABB"/>
    <w:rsid w:val="00625ECD"/>
    <w:rsid w:val="0062609F"/>
    <w:rsid w:val="006265DA"/>
    <w:rsid w:val="00626F92"/>
    <w:rsid w:val="00627167"/>
    <w:rsid w:val="00630678"/>
    <w:rsid w:val="00630B58"/>
    <w:rsid w:val="00631312"/>
    <w:rsid w:val="006329FF"/>
    <w:rsid w:val="006334AE"/>
    <w:rsid w:val="00634D36"/>
    <w:rsid w:val="00634DC4"/>
    <w:rsid w:val="00634FC1"/>
    <w:rsid w:val="006351C5"/>
    <w:rsid w:val="0063740D"/>
    <w:rsid w:val="00637DAF"/>
    <w:rsid w:val="006407C0"/>
    <w:rsid w:val="00640B79"/>
    <w:rsid w:val="00640E1A"/>
    <w:rsid w:val="00641902"/>
    <w:rsid w:val="00642893"/>
    <w:rsid w:val="0064303C"/>
    <w:rsid w:val="0064343F"/>
    <w:rsid w:val="00644BBD"/>
    <w:rsid w:val="006469D5"/>
    <w:rsid w:val="00646BEA"/>
    <w:rsid w:val="00647276"/>
    <w:rsid w:val="0064763F"/>
    <w:rsid w:val="00647645"/>
    <w:rsid w:val="00647B94"/>
    <w:rsid w:val="00650627"/>
    <w:rsid w:val="00651E31"/>
    <w:rsid w:val="00655547"/>
    <w:rsid w:val="006558B8"/>
    <w:rsid w:val="00655D1E"/>
    <w:rsid w:val="006560B4"/>
    <w:rsid w:val="00661A4E"/>
    <w:rsid w:val="00662789"/>
    <w:rsid w:val="006628F9"/>
    <w:rsid w:val="00662A8B"/>
    <w:rsid w:val="00662CAC"/>
    <w:rsid w:val="006636A2"/>
    <w:rsid w:val="00666AE1"/>
    <w:rsid w:val="00666DCC"/>
    <w:rsid w:val="0066725D"/>
    <w:rsid w:val="00667E10"/>
    <w:rsid w:val="0067042C"/>
    <w:rsid w:val="0067053B"/>
    <w:rsid w:val="006722B8"/>
    <w:rsid w:val="00672E1F"/>
    <w:rsid w:val="00673458"/>
    <w:rsid w:val="006737A0"/>
    <w:rsid w:val="00674C92"/>
    <w:rsid w:val="00674EFD"/>
    <w:rsid w:val="00676284"/>
    <w:rsid w:val="00676753"/>
    <w:rsid w:val="00677C38"/>
    <w:rsid w:val="00680B55"/>
    <w:rsid w:val="00681275"/>
    <w:rsid w:val="00681ECB"/>
    <w:rsid w:val="00681F18"/>
    <w:rsid w:val="00683168"/>
    <w:rsid w:val="006840A2"/>
    <w:rsid w:val="00684BFA"/>
    <w:rsid w:val="00684DC3"/>
    <w:rsid w:val="00685090"/>
    <w:rsid w:val="006900E0"/>
    <w:rsid w:val="00690364"/>
    <w:rsid w:val="00690821"/>
    <w:rsid w:val="0069139F"/>
    <w:rsid w:val="00692889"/>
    <w:rsid w:val="00692FD1"/>
    <w:rsid w:val="00693336"/>
    <w:rsid w:val="00693435"/>
    <w:rsid w:val="006937ED"/>
    <w:rsid w:val="00694BC7"/>
    <w:rsid w:val="006970DA"/>
    <w:rsid w:val="0069761D"/>
    <w:rsid w:val="00697976"/>
    <w:rsid w:val="006A041A"/>
    <w:rsid w:val="006A2CF3"/>
    <w:rsid w:val="006A3D50"/>
    <w:rsid w:val="006A5BBE"/>
    <w:rsid w:val="006A627A"/>
    <w:rsid w:val="006A634B"/>
    <w:rsid w:val="006B10EE"/>
    <w:rsid w:val="006B2411"/>
    <w:rsid w:val="006B2754"/>
    <w:rsid w:val="006B283F"/>
    <w:rsid w:val="006B2C29"/>
    <w:rsid w:val="006B2E3E"/>
    <w:rsid w:val="006B349E"/>
    <w:rsid w:val="006B34C8"/>
    <w:rsid w:val="006B3672"/>
    <w:rsid w:val="006B570F"/>
    <w:rsid w:val="006B6E40"/>
    <w:rsid w:val="006B7657"/>
    <w:rsid w:val="006C06CE"/>
    <w:rsid w:val="006C0EDD"/>
    <w:rsid w:val="006C1D26"/>
    <w:rsid w:val="006C272F"/>
    <w:rsid w:val="006C3AEF"/>
    <w:rsid w:val="006C4AD0"/>
    <w:rsid w:val="006C66AF"/>
    <w:rsid w:val="006D1182"/>
    <w:rsid w:val="006D4636"/>
    <w:rsid w:val="006D709F"/>
    <w:rsid w:val="006E14CD"/>
    <w:rsid w:val="006E1A48"/>
    <w:rsid w:val="006E1C45"/>
    <w:rsid w:val="006E1E0C"/>
    <w:rsid w:val="006E1FC6"/>
    <w:rsid w:val="006E29EB"/>
    <w:rsid w:val="006E2C32"/>
    <w:rsid w:val="006E35F6"/>
    <w:rsid w:val="006E4A3C"/>
    <w:rsid w:val="006E4CFF"/>
    <w:rsid w:val="006E52A4"/>
    <w:rsid w:val="006E530A"/>
    <w:rsid w:val="006F08CF"/>
    <w:rsid w:val="006F21A0"/>
    <w:rsid w:val="006F2571"/>
    <w:rsid w:val="006F25FF"/>
    <w:rsid w:val="006F2662"/>
    <w:rsid w:val="006F3C0D"/>
    <w:rsid w:val="006F489B"/>
    <w:rsid w:val="006F4CC8"/>
    <w:rsid w:val="006F58CA"/>
    <w:rsid w:val="006F79E2"/>
    <w:rsid w:val="006F7EF6"/>
    <w:rsid w:val="007009EA"/>
    <w:rsid w:val="00701AED"/>
    <w:rsid w:val="00701F71"/>
    <w:rsid w:val="00702E6A"/>
    <w:rsid w:val="007057BB"/>
    <w:rsid w:val="0071075D"/>
    <w:rsid w:val="007108DB"/>
    <w:rsid w:val="00710AC8"/>
    <w:rsid w:val="00710E15"/>
    <w:rsid w:val="00713B5C"/>
    <w:rsid w:val="00714061"/>
    <w:rsid w:val="007141C9"/>
    <w:rsid w:val="00714E42"/>
    <w:rsid w:val="00715CCF"/>
    <w:rsid w:val="00720E4E"/>
    <w:rsid w:val="007217DF"/>
    <w:rsid w:val="0072266F"/>
    <w:rsid w:val="0072298E"/>
    <w:rsid w:val="00723330"/>
    <w:rsid w:val="00724A3F"/>
    <w:rsid w:val="00724CB9"/>
    <w:rsid w:val="00725E98"/>
    <w:rsid w:val="00726541"/>
    <w:rsid w:val="0072748C"/>
    <w:rsid w:val="00730949"/>
    <w:rsid w:val="00731153"/>
    <w:rsid w:val="00731344"/>
    <w:rsid w:val="007317BD"/>
    <w:rsid w:val="00732602"/>
    <w:rsid w:val="00735571"/>
    <w:rsid w:val="007355DA"/>
    <w:rsid w:val="007357E5"/>
    <w:rsid w:val="007372C6"/>
    <w:rsid w:val="00737917"/>
    <w:rsid w:val="00740429"/>
    <w:rsid w:val="00741EF5"/>
    <w:rsid w:val="0074517D"/>
    <w:rsid w:val="00745BE1"/>
    <w:rsid w:val="007464D3"/>
    <w:rsid w:val="00747E97"/>
    <w:rsid w:val="00747FF1"/>
    <w:rsid w:val="007500AB"/>
    <w:rsid w:val="00750552"/>
    <w:rsid w:val="0075056D"/>
    <w:rsid w:val="00750595"/>
    <w:rsid w:val="00751BD8"/>
    <w:rsid w:val="00753782"/>
    <w:rsid w:val="00755120"/>
    <w:rsid w:val="00755FC1"/>
    <w:rsid w:val="007560DC"/>
    <w:rsid w:val="007575A6"/>
    <w:rsid w:val="00757770"/>
    <w:rsid w:val="00760419"/>
    <w:rsid w:val="00760CFD"/>
    <w:rsid w:val="007614B3"/>
    <w:rsid w:val="00762229"/>
    <w:rsid w:val="00762C71"/>
    <w:rsid w:val="00764A88"/>
    <w:rsid w:val="00764F20"/>
    <w:rsid w:val="007651BA"/>
    <w:rsid w:val="00765C74"/>
    <w:rsid w:val="00766C67"/>
    <w:rsid w:val="00770105"/>
    <w:rsid w:val="00770428"/>
    <w:rsid w:val="0077050F"/>
    <w:rsid w:val="00770B8F"/>
    <w:rsid w:val="00770DE7"/>
    <w:rsid w:val="00771EE2"/>
    <w:rsid w:val="00772B0E"/>
    <w:rsid w:val="007739E8"/>
    <w:rsid w:val="007748F9"/>
    <w:rsid w:val="007752F8"/>
    <w:rsid w:val="0077551C"/>
    <w:rsid w:val="00775696"/>
    <w:rsid w:val="00775D71"/>
    <w:rsid w:val="00780061"/>
    <w:rsid w:val="007802CD"/>
    <w:rsid w:val="007806B9"/>
    <w:rsid w:val="00780B4B"/>
    <w:rsid w:val="00781656"/>
    <w:rsid w:val="00781890"/>
    <w:rsid w:val="007840BE"/>
    <w:rsid w:val="007845B9"/>
    <w:rsid w:val="00785059"/>
    <w:rsid w:val="00785203"/>
    <w:rsid w:val="0078546A"/>
    <w:rsid w:val="00785E01"/>
    <w:rsid w:val="00786E65"/>
    <w:rsid w:val="00787267"/>
    <w:rsid w:val="00787998"/>
    <w:rsid w:val="00787E36"/>
    <w:rsid w:val="007901F3"/>
    <w:rsid w:val="0079273A"/>
    <w:rsid w:val="00793DB7"/>
    <w:rsid w:val="0079572F"/>
    <w:rsid w:val="00795E32"/>
    <w:rsid w:val="00796482"/>
    <w:rsid w:val="007A16BB"/>
    <w:rsid w:val="007A171A"/>
    <w:rsid w:val="007A24C6"/>
    <w:rsid w:val="007A2793"/>
    <w:rsid w:val="007A3615"/>
    <w:rsid w:val="007A3A33"/>
    <w:rsid w:val="007A3E27"/>
    <w:rsid w:val="007A4068"/>
    <w:rsid w:val="007A434A"/>
    <w:rsid w:val="007A480A"/>
    <w:rsid w:val="007A4C05"/>
    <w:rsid w:val="007A69E6"/>
    <w:rsid w:val="007A6B5A"/>
    <w:rsid w:val="007A6F96"/>
    <w:rsid w:val="007A77B4"/>
    <w:rsid w:val="007A7A19"/>
    <w:rsid w:val="007B04EC"/>
    <w:rsid w:val="007B0B6B"/>
    <w:rsid w:val="007B11B6"/>
    <w:rsid w:val="007B1265"/>
    <w:rsid w:val="007B2E8F"/>
    <w:rsid w:val="007B4E0B"/>
    <w:rsid w:val="007B5FB7"/>
    <w:rsid w:val="007B65C5"/>
    <w:rsid w:val="007B6758"/>
    <w:rsid w:val="007B766D"/>
    <w:rsid w:val="007B771B"/>
    <w:rsid w:val="007B7AE6"/>
    <w:rsid w:val="007C0027"/>
    <w:rsid w:val="007C0065"/>
    <w:rsid w:val="007C02CF"/>
    <w:rsid w:val="007C03E0"/>
    <w:rsid w:val="007C1D33"/>
    <w:rsid w:val="007C2A0C"/>
    <w:rsid w:val="007C33D4"/>
    <w:rsid w:val="007C3A8E"/>
    <w:rsid w:val="007C3AE4"/>
    <w:rsid w:val="007C3C33"/>
    <w:rsid w:val="007C3ED2"/>
    <w:rsid w:val="007C4C9F"/>
    <w:rsid w:val="007C5A65"/>
    <w:rsid w:val="007C5D35"/>
    <w:rsid w:val="007C65D6"/>
    <w:rsid w:val="007C7544"/>
    <w:rsid w:val="007D0B7C"/>
    <w:rsid w:val="007D134C"/>
    <w:rsid w:val="007D16A9"/>
    <w:rsid w:val="007D1B3B"/>
    <w:rsid w:val="007D342E"/>
    <w:rsid w:val="007D3A6C"/>
    <w:rsid w:val="007D3DA7"/>
    <w:rsid w:val="007D3FF1"/>
    <w:rsid w:val="007D5509"/>
    <w:rsid w:val="007D5A12"/>
    <w:rsid w:val="007D6A2A"/>
    <w:rsid w:val="007D6C20"/>
    <w:rsid w:val="007D6D96"/>
    <w:rsid w:val="007D7CF7"/>
    <w:rsid w:val="007E0CDA"/>
    <w:rsid w:val="007E1C35"/>
    <w:rsid w:val="007E2504"/>
    <w:rsid w:val="007E34F6"/>
    <w:rsid w:val="007E59CF"/>
    <w:rsid w:val="007E5D2A"/>
    <w:rsid w:val="007E6284"/>
    <w:rsid w:val="007E68BC"/>
    <w:rsid w:val="007E71E4"/>
    <w:rsid w:val="007E747D"/>
    <w:rsid w:val="007E7BD3"/>
    <w:rsid w:val="007F0C32"/>
    <w:rsid w:val="007F2296"/>
    <w:rsid w:val="007F2D79"/>
    <w:rsid w:val="007F32F0"/>
    <w:rsid w:val="007F3472"/>
    <w:rsid w:val="007F39EA"/>
    <w:rsid w:val="007F57A4"/>
    <w:rsid w:val="007F598B"/>
    <w:rsid w:val="007F5A8A"/>
    <w:rsid w:val="007F6011"/>
    <w:rsid w:val="007F6E34"/>
    <w:rsid w:val="007F7861"/>
    <w:rsid w:val="007F7BFD"/>
    <w:rsid w:val="0080074D"/>
    <w:rsid w:val="00802087"/>
    <w:rsid w:val="008023E1"/>
    <w:rsid w:val="008025FC"/>
    <w:rsid w:val="008030BA"/>
    <w:rsid w:val="00804290"/>
    <w:rsid w:val="008043B1"/>
    <w:rsid w:val="00804837"/>
    <w:rsid w:val="00804C6E"/>
    <w:rsid w:val="00804F0D"/>
    <w:rsid w:val="00805FEA"/>
    <w:rsid w:val="008073B9"/>
    <w:rsid w:val="00807FB9"/>
    <w:rsid w:val="008106C8"/>
    <w:rsid w:val="008108BB"/>
    <w:rsid w:val="00810C75"/>
    <w:rsid w:val="00811447"/>
    <w:rsid w:val="00812BA9"/>
    <w:rsid w:val="0081405A"/>
    <w:rsid w:val="00814839"/>
    <w:rsid w:val="0081547A"/>
    <w:rsid w:val="00815526"/>
    <w:rsid w:val="00815B51"/>
    <w:rsid w:val="00815BB9"/>
    <w:rsid w:val="00815F6E"/>
    <w:rsid w:val="00816132"/>
    <w:rsid w:val="0081749B"/>
    <w:rsid w:val="008205F8"/>
    <w:rsid w:val="008209E3"/>
    <w:rsid w:val="0082197B"/>
    <w:rsid w:val="008225A8"/>
    <w:rsid w:val="00822F7A"/>
    <w:rsid w:val="00824213"/>
    <w:rsid w:val="0082727D"/>
    <w:rsid w:val="00827671"/>
    <w:rsid w:val="00831AFC"/>
    <w:rsid w:val="0083265C"/>
    <w:rsid w:val="008339D1"/>
    <w:rsid w:val="008340A1"/>
    <w:rsid w:val="0083471F"/>
    <w:rsid w:val="008354C8"/>
    <w:rsid w:val="00836A5B"/>
    <w:rsid w:val="00837522"/>
    <w:rsid w:val="00840F51"/>
    <w:rsid w:val="00845107"/>
    <w:rsid w:val="008462D9"/>
    <w:rsid w:val="00846555"/>
    <w:rsid w:val="00846D9C"/>
    <w:rsid w:val="00847DCA"/>
    <w:rsid w:val="00851DFF"/>
    <w:rsid w:val="00852A15"/>
    <w:rsid w:val="0085359D"/>
    <w:rsid w:val="008540C1"/>
    <w:rsid w:val="0085487C"/>
    <w:rsid w:val="00854EB7"/>
    <w:rsid w:val="0085638F"/>
    <w:rsid w:val="00856590"/>
    <w:rsid w:val="008576B6"/>
    <w:rsid w:val="00857A0D"/>
    <w:rsid w:val="0086030E"/>
    <w:rsid w:val="0086059A"/>
    <w:rsid w:val="00861C4C"/>
    <w:rsid w:val="00861CEB"/>
    <w:rsid w:val="00862097"/>
    <w:rsid w:val="0086221E"/>
    <w:rsid w:val="00862E52"/>
    <w:rsid w:val="00862E58"/>
    <w:rsid w:val="0086429F"/>
    <w:rsid w:val="00864D98"/>
    <w:rsid w:val="00865055"/>
    <w:rsid w:val="008665E3"/>
    <w:rsid w:val="008674E3"/>
    <w:rsid w:val="00867F74"/>
    <w:rsid w:val="00867FF5"/>
    <w:rsid w:val="00872130"/>
    <w:rsid w:val="0087348C"/>
    <w:rsid w:val="00873551"/>
    <w:rsid w:val="008735FD"/>
    <w:rsid w:val="008738D8"/>
    <w:rsid w:val="0087467E"/>
    <w:rsid w:val="008759DA"/>
    <w:rsid w:val="0088133B"/>
    <w:rsid w:val="008813F4"/>
    <w:rsid w:val="00881648"/>
    <w:rsid w:val="00881677"/>
    <w:rsid w:val="0088268B"/>
    <w:rsid w:val="00883215"/>
    <w:rsid w:val="00884EB9"/>
    <w:rsid w:val="00885730"/>
    <w:rsid w:val="00886BAF"/>
    <w:rsid w:val="00890174"/>
    <w:rsid w:val="0089076D"/>
    <w:rsid w:val="00890B64"/>
    <w:rsid w:val="00890B76"/>
    <w:rsid w:val="00891291"/>
    <w:rsid w:val="008915DD"/>
    <w:rsid w:val="00891B64"/>
    <w:rsid w:val="0089301C"/>
    <w:rsid w:val="00893046"/>
    <w:rsid w:val="00894B83"/>
    <w:rsid w:val="00895FEB"/>
    <w:rsid w:val="00897361"/>
    <w:rsid w:val="0089768B"/>
    <w:rsid w:val="008978F6"/>
    <w:rsid w:val="008A0ACD"/>
    <w:rsid w:val="008A1B0D"/>
    <w:rsid w:val="008A201B"/>
    <w:rsid w:val="008A28DA"/>
    <w:rsid w:val="008A2F41"/>
    <w:rsid w:val="008A4F66"/>
    <w:rsid w:val="008A53C4"/>
    <w:rsid w:val="008A62ED"/>
    <w:rsid w:val="008A6394"/>
    <w:rsid w:val="008A6748"/>
    <w:rsid w:val="008A7151"/>
    <w:rsid w:val="008A7B85"/>
    <w:rsid w:val="008B0649"/>
    <w:rsid w:val="008B0937"/>
    <w:rsid w:val="008B1629"/>
    <w:rsid w:val="008B174B"/>
    <w:rsid w:val="008B1995"/>
    <w:rsid w:val="008B1D1F"/>
    <w:rsid w:val="008B1D62"/>
    <w:rsid w:val="008B3164"/>
    <w:rsid w:val="008B36AC"/>
    <w:rsid w:val="008B383F"/>
    <w:rsid w:val="008B5A8D"/>
    <w:rsid w:val="008B5C5C"/>
    <w:rsid w:val="008B6C15"/>
    <w:rsid w:val="008B6F47"/>
    <w:rsid w:val="008B7EC7"/>
    <w:rsid w:val="008C005C"/>
    <w:rsid w:val="008C0388"/>
    <w:rsid w:val="008C0FD3"/>
    <w:rsid w:val="008C16C5"/>
    <w:rsid w:val="008C181A"/>
    <w:rsid w:val="008C1E67"/>
    <w:rsid w:val="008C2075"/>
    <w:rsid w:val="008C3A08"/>
    <w:rsid w:val="008C3BE9"/>
    <w:rsid w:val="008C46C9"/>
    <w:rsid w:val="008C5E65"/>
    <w:rsid w:val="008C61AB"/>
    <w:rsid w:val="008C7B16"/>
    <w:rsid w:val="008D0BFF"/>
    <w:rsid w:val="008D0FBE"/>
    <w:rsid w:val="008D15FD"/>
    <w:rsid w:val="008D2835"/>
    <w:rsid w:val="008D28C8"/>
    <w:rsid w:val="008D3943"/>
    <w:rsid w:val="008D4A36"/>
    <w:rsid w:val="008D5191"/>
    <w:rsid w:val="008D5DBE"/>
    <w:rsid w:val="008D6755"/>
    <w:rsid w:val="008D722E"/>
    <w:rsid w:val="008D78BC"/>
    <w:rsid w:val="008D7F62"/>
    <w:rsid w:val="008E043E"/>
    <w:rsid w:val="008E07A4"/>
    <w:rsid w:val="008E0A08"/>
    <w:rsid w:val="008E13AD"/>
    <w:rsid w:val="008E342F"/>
    <w:rsid w:val="008E4281"/>
    <w:rsid w:val="008E4C38"/>
    <w:rsid w:val="008E5CB0"/>
    <w:rsid w:val="008E7988"/>
    <w:rsid w:val="008E7D84"/>
    <w:rsid w:val="008F08A0"/>
    <w:rsid w:val="008F121C"/>
    <w:rsid w:val="008F1C9A"/>
    <w:rsid w:val="008F1CA0"/>
    <w:rsid w:val="008F2ECD"/>
    <w:rsid w:val="008F31B2"/>
    <w:rsid w:val="008F698C"/>
    <w:rsid w:val="008F7AFE"/>
    <w:rsid w:val="0090064D"/>
    <w:rsid w:val="009019B4"/>
    <w:rsid w:val="00902BE5"/>
    <w:rsid w:val="009030E2"/>
    <w:rsid w:val="00903612"/>
    <w:rsid w:val="00905348"/>
    <w:rsid w:val="009053C7"/>
    <w:rsid w:val="009069CB"/>
    <w:rsid w:val="0090785D"/>
    <w:rsid w:val="00907C8E"/>
    <w:rsid w:val="00910152"/>
    <w:rsid w:val="0091019A"/>
    <w:rsid w:val="009110BC"/>
    <w:rsid w:val="00911A4D"/>
    <w:rsid w:val="00911A5E"/>
    <w:rsid w:val="00911BDA"/>
    <w:rsid w:val="00911EF3"/>
    <w:rsid w:val="00912335"/>
    <w:rsid w:val="009128A6"/>
    <w:rsid w:val="00912C58"/>
    <w:rsid w:val="009139B1"/>
    <w:rsid w:val="00914BB0"/>
    <w:rsid w:val="00914E66"/>
    <w:rsid w:val="00914EBF"/>
    <w:rsid w:val="0091665E"/>
    <w:rsid w:val="0091716C"/>
    <w:rsid w:val="009209CE"/>
    <w:rsid w:val="00920A35"/>
    <w:rsid w:val="009226D1"/>
    <w:rsid w:val="009232FC"/>
    <w:rsid w:val="00923F62"/>
    <w:rsid w:val="00924F17"/>
    <w:rsid w:val="00925AA8"/>
    <w:rsid w:val="00925B52"/>
    <w:rsid w:val="0092606E"/>
    <w:rsid w:val="00926485"/>
    <w:rsid w:val="00926BD6"/>
    <w:rsid w:val="0092704D"/>
    <w:rsid w:val="0092707E"/>
    <w:rsid w:val="0093029D"/>
    <w:rsid w:val="009308ED"/>
    <w:rsid w:val="00930B2E"/>
    <w:rsid w:val="00930C31"/>
    <w:rsid w:val="00932F11"/>
    <w:rsid w:val="00933216"/>
    <w:rsid w:val="00933287"/>
    <w:rsid w:val="009340AE"/>
    <w:rsid w:val="0093423A"/>
    <w:rsid w:val="0093558A"/>
    <w:rsid w:val="00935E94"/>
    <w:rsid w:val="009364AC"/>
    <w:rsid w:val="00936534"/>
    <w:rsid w:val="00936656"/>
    <w:rsid w:val="00936833"/>
    <w:rsid w:val="00936895"/>
    <w:rsid w:val="00936DCD"/>
    <w:rsid w:val="0093711C"/>
    <w:rsid w:val="009375EC"/>
    <w:rsid w:val="00937FF8"/>
    <w:rsid w:val="009404BF"/>
    <w:rsid w:val="00941BA5"/>
    <w:rsid w:val="00942DF4"/>
    <w:rsid w:val="0094305C"/>
    <w:rsid w:val="009431D8"/>
    <w:rsid w:val="00944C1A"/>
    <w:rsid w:val="00945255"/>
    <w:rsid w:val="00945B6A"/>
    <w:rsid w:val="009460D4"/>
    <w:rsid w:val="00950971"/>
    <w:rsid w:val="00950A07"/>
    <w:rsid w:val="009517DE"/>
    <w:rsid w:val="009549AE"/>
    <w:rsid w:val="009557F1"/>
    <w:rsid w:val="00955E47"/>
    <w:rsid w:val="00957B54"/>
    <w:rsid w:val="0096057E"/>
    <w:rsid w:val="00960B07"/>
    <w:rsid w:val="00961451"/>
    <w:rsid w:val="00961A1B"/>
    <w:rsid w:val="00961B68"/>
    <w:rsid w:val="00962226"/>
    <w:rsid w:val="00962C9E"/>
    <w:rsid w:val="00964753"/>
    <w:rsid w:val="00964BBB"/>
    <w:rsid w:val="009665E4"/>
    <w:rsid w:val="00966639"/>
    <w:rsid w:val="0096690C"/>
    <w:rsid w:val="00967649"/>
    <w:rsid w:val="00970216"/>
    <w:rsid w:val="00970BF8"/>
    <w:rsid w:val="009712A5"/>
    <w:rsid w:val="009714ED"/>
    <w:rsid w:val="00971A3D"/>
    <w:rsid w:val="009730BD"/>
    <w:rsid w:val="00973630"/>
    <w:rsid w:val="00974381"/>
    <w:rsid w:val="00975456"/>
    <w:rsid w:val="0097687E"/>
    <w:rsid w:val="00976A9F"/>
    <w:rsid w:val="00976C45"/>
    <w:rsid w:val="00977B34"/>
    <w:rsid w:val="00981F04"/>
    <w:rsid w:val="00982192"/>
    <w:rsid w:val="00982AA2"/>
    <w:rsid w:val="0098310E"/>
    <w:rsid w:val="00983196"/>
    <w:rsid w:val="009836EB"/>
    <w:rsid w:val="0098589D"/>
    <w:rsid w:val="00985A85"/>
    <w:rsid w:val="00985D13"/>
    <w:rsid w:val="00986435"/>
    <w:rsid w:val="0098688D"/>
    <w:rsid w:val="00986EA0"/>
    <w:rsid w:val="0098739C"/>
    <w:rsid w:val="00987455"/>
    <w:rsid w:val="00987780"/>
    <w:rsid w:val="00990546"/>
    <w:rsid w:val="00991423"/>
    <w:rsid w:val="00992344"/>
    <w:rsid w:val="009928B5"/>
    <w:rsid w:val="00992C57"/>
    <w:rsid w:val="00993597"/>
    <w:rsid w:val="00993AA8"/>
    <w:rsid w:val="00994675"/>
    <w:rsid w:val="00994CC6"/>
    <w:rsid w:val="00996060"/>
    <w:rsid w:val="009966BA"/>
    <w:rsid w:val="009971D9"/>
    <w:rsid w:val="009975F8"/>
    <w:rsid w:val="00997E09"/>
    <w:rsid w:val="00997E60"/>
    <w:rsid w:val="009A00FC"/>
    <w:rsid w:val="009A062B"/>
    <w:rsid w:val="009A21A7"/>
    <w:rsid w:val="009A25ED"/>
    <w:rsid w:val="009A383B"/>
    <w:rsid w:val="009A3D6D"/>
    <w:rsid w:val="009A3DA7"/>
    <w:rsid w:val="009A54DC"/>
    <w:rsid w:val="009A5E16"/>
    <w:rsid w:val="009A6516"/>
    <w:rsid w:val="009A784D"/>
    <w:rsid w:val="009A7E1B"/>
    <w:rsid w:val="009B0EB6"/>
    <w:rsid w:val="009B0F61"/>
    <w:rsid w:val="009B1608"/>
    <w:rsid w:val="009B6E7B"/>
    <w:rsid w:val="009B7661"/>
    <w:rsid w:val="009B7A15"/>
    <w:rsid w:val="009C0689"/>
    <w:rsid w:val="009C06EC"/>
    <w:rsid w:val="009C1429"/>
    <w:rsid w:val="009C2914"/>
    <w:rsid w:val="009C400E"/>
    <w:rsid w:val="009C47BA"/>
    <w:rsid w:val="009C5697"/>
    <w:rsid w:val="009C56AE"/>
    <w:rsid w:val="009C5B12"/>
    <w:rsid w:val="009D01AD"/>
    <w:rsid w:val="009D1150"/>
    <w:rsid w:val="009D13C5"/>
    <w:rsid w:val="009D1430"/>
    <w:rsid w:val="009D2CBF"/>
    <w:rsid w:val="009D325A"/>
    <w:rsid w:val="009D4786"/>
    <w:rsid w:val="009D4BAB"/>
    <w:rsid w:val="009D553E"/>
    <w:rsid w:val="009E0219"/>
    <w:rsid w:val="009E0898"/>
    <w:rsid w:val="009E119E"/>
    <w:rsid w:val="009E1E5D"/>
    <w:rsid w:val="009E2ED8"/>
    <w:rsid w:val="009E2F5E"/>
    <w:rsid w:val="009E38FA"/>
    <w:rsid w:val="009E3A5E"/>
    <w:rsid w:val="009E41C9"/>
    <w:rsid w:val="009E4624"/>
    <w:rsid w:val="009E4CD5"/>
    <w:rsid w:val="009E4DAF"/>
    <w:rsid w:val="009E53A0"/>
    <w:rsid w:val="009E5F13"/>
    <w:rsid w:val="009E66CD"/>
    <w:rsid w:val="009E6A59"/>
    <w:rsid w:val="009E792A"/>
    <w:rsid w:val="009E7B81"/>
    <w:rsid w:val="009F0196"/>
    <w:rsid w:val="009F03B8"/>
    <w:rsid w:val="009F1991"/>
    <w:rsid w:val="009F31B9"/>
    <w:rsid w:val="009F4448"/>
    <w:rsid w:val="009F5BF1"/>
    <w:rsid w:val="009F6DA7"/>
    <w:rsid w:val="009F71ED"/>
    <w:rsid w:val="00A01768"/>
    <w:rsid w:val="00A0237A"/>
    <w:rsid w:val="00A02602"/>
    <w:rsid w:val="00A036C9"/>
    <w:rsid w:val="00A0412D"/>
    <w:rsid w:val="00A06D75"/>
    <w:rsid w:val="00A07C6A"/>
    <w:rsid w:val="00A1018F"/>
    <w:rsid w:val="00A111EF"/>
    <w:rsid w:val="00A11692"/>
    <w:rsid w:val="00A11A17"/>
    <w:rsid w:val="00A11A69"/>
    <w:rsid w:val="00A12E7B"/>
    <w:rsid w:val="00A13A55"/>
    <w:rsid w:val="00A1441A"/>
    <w:rsid w:val="00A15141"/>
    <w:rsid w:val="00A154EA"/>
    <w:rsid w:val="00A15B6A"/>
    <w:rsid w:val="00A16640"/>
    <w:rsid w:val="00A16A00"/>
    <w:rsid w:val="00A17C28"/>
    <w:rsid w:val="00A17F55"/>
    <w:rsid w:val="00A20036"/>
    <w:rsid w:val="00A203B4"/>
    <w:rsid w:val="00A20459"/>
    <w:rsid w:val="00A20B08"/>
    <w:rsid w:val="00A21B6C"/>
    <w:rsid w:val="00A22BBB"/>
    <w:rsid w:val="00A23AAA"/>
    <w:rsid w:val="00A243E2"/>
    <w:rsid w:val="00A25A28"/>
    <w:rsid w:val="00A2617F"/>
    <w:rsid w:val="00A27958"/>
    <w:rsid w:val="00A27A46"/>
    <w:rsid w:val="00A3372C"/>
    <w:rsid w:val="00A3690E"/>
    <w:rsid w:val="00A400C9"/>
    <w:rsid w:val="00A402A1"/>
    <w:rsid w:val="00A40911"/>
    <w:rsid w:val="00A41036"/>
    <w:rsid w:val="00A4151A"/>
    <w:rsid w:val="00A416D5"/>
    <w:rsid w:val="00A41874"/>
    <w:rsid w:val="00A41F0A"/>
    <w:rsid w:val="00A423D3"/>
    <w:rsid w:val="00A42815"/>
    <w:rsid w:val="00A4341B"/>
    <w:rsid w:val="00A436A1"/>
    <w:rsid w:val="00A44441"/>
    <w:rsid w:val="00A447E5"/>
    <w:rsid w:val="00A44E92"/>
    <w:rsid w:val="00A451E7"/>
    <w:rsid w:val="00A4673A"/>
    <w:rsid w:val="00A51208"/>
    <w:rsid w:val="00A536C1"/>
    <w:rsid w:val="00A54105"/>
    <w:rsid w:val="00A54D3A"/>
    <w:rsid w:val="00A57299"/>
    <w:rsid w:val="00A61782"/>
    <w:rsid w:val="00A61C9D"/>
    <w:rsid w:val="00A63845"/>
    <w:rsid w:val="00A66938"/>
    <w:rsid w:val="00A671E2"/>
    <w:rsid w:val="00A671F5"/>
    <w:rsid w:val="00A70018"/>
    <w:rsid w:val="00A70440"/>
    <w:rsid w:val="00A708F8"/>
    <w:rsid w:val="00A71292"/>
    <w:rsid w:val="00A7142D"/>
    <w:rsid w:val="00A71430"/>
    <w:rsid w:val="00A71A99"/>
    <w:rsid w:val="00A71F2A"/>
    <w:rsid w:val="00A7478A"/>
    <w:rsid w:val="00A75356"/>
    <w:rsid w:val="00A758D9"/>
    <w:rsid w:val="00A7661D"/>
    <w:rsid w:val="00A767F5"/>
    <w:rsid w:val="00A77578"/>
    <w:rsid w:val="00A807ED"/>
    <w:rsid w:val="00A80D23"/>
    <w:rsid w:val="00A81056"/>
    <w:rsid w:val="00A81108"/>
    <w:rsid w:val="00A81941"/>
    <w:rsid w:val="00A827C0"/>
    <w:rsid w:val="00A82A16"/>
    <w:rsid w:val="00A83B2C"/>
    <w:rsid w:val="00A843F2"/>
    <w:rsid w:val="00A84712"/>
    <w:rsid w:val="00A84B08"/>
    <w:rsid w:val="00A84F9E"/>
    <w:rsid w:val="00A85AEC"/>
    <w:rsid w:val="00A861F6"/>
    <w:rsid w:val="00A86939"/>
    <w:rsid w:val="00A877B8"/>
    <w:rsid w:val="00A879E6"/>
    <w:rsid w:val="00A87D23"/>
    <w:rsid w:val="00A90622"/>
    <w:rsid w:val="00A914E1"/>
    <w:rsid w:val="00A9188A"/>
    <w:rsid w:val="00A91A08"/>
    <w:rsid w:val="00A931CF"/>
    <w:rsid w:val="00A93D73"/>
    <w:rsid w:val="00A93F3F"/>
    <w:rsid w:val="00A94CBD"/>
    <w:rsid w:val="00A97E8F"/>
    <w:rsid w:val="00AA0A3C"/>
    <w:rsid w:val="00AA0E98"/>
    <w:rsid w:val="00AA1403"/>
    <w:rsid w:val="00AA1B02"/>
    <w:rsid w:val="00AA22BB"/>
    <w:rsid w:val="00AA2A81"/>
    <w:rsid w:val="00AA2EBC"/>
    <w:rsid w:val="00AA30D8"/>
    <w:rsid w:val="00AA3BFF"/>
    <w:rsid w:val="00AA4DC9"/>
    <w:rsid w:val="00AA7819"/>
    <w:rsid w:val="00AA7E15"/>
    <w:rsid w:val="00AB03B7"/>
    <w:rsid w:val="00AB0AB8"/>
    <w:rsid w:val="00AB0B2D"/>
    <w:rsid w:val="00AB1CB7"/>
    <w:rsid w:val="00AB2026"/>
    <w:rsid w:val="00AB2D26"/>
    <w:rsid w:val="00AB3735"/>
    <w:rsid w:val="00AB42E0"/>
    <w:rsid w:val="00AB75E7"/>
    <w:rsid w:val="00AC117A"/>
    <w:rsid w:val="00AC1486"/>
    <w:rsid w:val="00AC2189"/>
    <w:rsid w:val="00AC455A"/>
    <w:rsid w:val="00AC4E7B"/>
    <w:rsid w:val="00AC6133"/>
    <w:rsid w:val="00AD01F8"/>
    <w:rsid w:val="00AD054F"/>
    <w:rsid w:val="00AD12E4"/>
    <w:rsid w:val="00AD1461"/>
    <w:rsid w:val="00AD1511"/>
    <w:rsid w:val="00AD204D"/>
    <w:rsid w:val="00AD232D"/>
    <w:rsid w:val="00AD2B88"/>
    <w:rsid w:val="00AD3013"/>
    <w:rsid w:val="00AD3317"/>
    <w:rsid w:val="00AD351C"/>
    <w:rsid w:val="00AD6015"/>
    <w:rsid w:val="00AD6513"/>
    <w:rsid w:val="00AD6D99"/>
    <w:rsid w:val="00AD716B"/>
    <w:rsid w:val="00AD7F4E"/>
    <w:rsid w:val="00AE1020"/>
    <w:rsid w:val="00AE2300"/>
    <w:rsid w:val="00AE248C"/>
    <w:rsid w:val="00AE3FA1"/>
    <w:rsid w:val="00AE4270"/>
    <w:rsid w:val="00AE42C3"/>
    <w:rsid w:val="00AE59CD"/>
    <w:rsid w:val="00AE5FA9"/>
    <w:rsid w:val="00AE633C"/>
    <w:rsid w:val="00AE6F38"/>
    <w:rsid w:val="00AE732C"/>
    <w:rsid w:val="00AF4104"/>
    <w:rsid w:val="00AF4611"/>
    <w:rsid w:val="00AF4EE6"/>
    <w:rsid w:val="00AF534D"/>
    <w:rsid w:val="00AF5E59"/>
    <w:rsid w:val="00AF6163"/>
    <w:rsid w:val="00B001BF"/>
    <w:rsid w:val="00B0027D"/>
    <w:rsid w:val="00B007F7"/>
    <w:rsid w:val="00B0084A"/>
    <w:rsid w:val="00B016F8"/>
    <w:rsid w:val="00B020EA"/>
    <w:rsid w:val="00B021F3"/>
    <w:rsid w:val="00B02ECA"/>
    <w:rsid w:val="00B0344A"/>
    <w:rsid w:val="00B0631E"/>
    <w:rsid w:val="00B0740B"/>
    <w:rsid w:val="00B07B75"/>
    <w:rsid w:val="00B10B2C"/>
    <w:rsid w:val="00B136D2"/>
    <w:rsid w:val="00B13931"/>
    <w:rsid w:val="00B14F10"/>
    <w:rsid w:val="00B15590"/>
    <w:rsid w:val="00B156AA"/>
    <w:rsid w:val="00B15B9E"/>
    <w:rsid w:val="00B16564"/>
    <w:rsid w:val="00B17752"/>
    <w:rsid w:val="00B20367"/>
    <w:rsid w:val="00B20730"/>
    <w:rsid w:val="00B20C32"/>
    <w:rsid w:val="00B210B9"/>
    <w:rsid w:val="00B2114E"/>
    <w:rsid w:val="00B21C17"/>
    <w:rsid w:val="00B23B13"/>
    <w:rsid w:val="00B240DC"/>
    <w:rsid w:val="00B2462A"/>
    <w:rsid w:val="00B24897"/>
    <w:rsid w:val="00B2494F"/>
    <w:rsid w:val="00B25AEB"/>
    <w:rsid w:val="00B26173"/>
    <w:rsid w:val="00B32095"/>
    <w:rsid w:val="00B325A6"/>
    <w:rsid w:val="00B32D78"/>
    <w:rsid w:val="00B3363E"/>
    <w:rsid w:val="00B33B02"/>
    <w:rsid w:val="00B346C0"/>
    <w:rsid w:val="00B34D03"/>
    <w:rsid w:val="00B34EDC"/>
    <w:rsid w:val="00B35136"/>
    <w:rsid w:val="00B35960"/>
    <w:rsid w:val="00B40ADC"/>
    <w:rsid w:val="00B4197F"/>
    <w:rsid w:val="00B41B32"/>
    <w:rsid w:val="00B42D1F"/>
    <w:rsid w:val="00B457FC"/>
    <w:rsid w:val="00B458AE"/>
    <w:rsid w:val="00B45988"/>
    <w:rsid w:val="00B4661E"/>
    <w:rsid w:val="00B476AF"/>
    <w:rsid w:val="00B47864"/>
    <w:rsid w:val="00B5066F"/>
    <w:rsid w:val="00B516A1"/>
    <w:rsid w:val="00B52CB8"/>
    <w:rsid w:val="00B54C69"/>
    <w:rsid w:val="00B5530C"/>
    <w:rsid w:val="00B566BF"/>
    <w:rsid w:val="00B56AE1"/>
    <w:rsid w:val="00B572B2"/>
    <w:rsid w:val="00B57C69"/>
    <w:rsid w:val="00B57E9D"/>
    <w:rsid w:val="00B600D2"/>
    <w:rsid w:val="00B60A26"/>
    <w:rsid w:val="00B60AAD"/>
    <w:rsid w:val="00B60C20"/>
    <w:rsid w:val="00B611AA"/>
    <w:rsid w:val="00B61236"/>
    <w:rsid w:val="00B62948"/>
    <w:rsid w:val="00B632E5"/>
    <w:rsid w:val="00B64039"/>
    <w:rsid w:val="00B644B0"/>
    <w:rsid w:val="00B64BE9"/>
    <w:rsid w:val="00B70042"/>
    <w:rsid w:val="00B7030D"/>
    <w:rsid w:val="00B7053F"/>
    <w:rsid w:val="00B70869"/>
    <w:rsid w:val="00B70C73"/>
    <w:rsid w:val="00B70CA6"/>
    <w:rsid w:val="00B70F8C"/>
    <w:rsid w:val="00B71461"/>
    <w:rsid w:val="00B723B2"/>
    <w:rsid w:val="00B7252E"/>
    <w:rsid w:val="00B73EB3"/>
    <w:rsid w:val="00B75169"/>
    <w:rsid w:val="00B771F6"/>
    <w:rsid w:val="00B81DC6"/>
    <w:rsid w:val="00B81F86"/>
    <w:rsid w:val="00B82634"/>
    <w:rsid w:val="00B83B73"/>
    <w:rsid w:val="00B84301"/>
    <w:rsid w:val="00B84BE6"/>
    <w:rsid w:val="00B850C5"/>
    <w:rsid w:val="00B85E7C"/>
    <w:rsid w:val="00B86183"/>
    <w:rsid w:val="00B87975"/>
    <w:rsid w:val="00B900B8"/>
    <w:rsid w:val="00B908DA"/>
    <w:rsid w:val="00B92A40"/>
    <w:rsid w:val="00B92E6F"/>
    <w:rsid w:val="00B9341E"/>
    <w:rsid w:val="00B93722"/>
    <w:rsid w:val="00B94876"/>
    <w:rsid w:val="00B95CEB"/>
    <w:rsid w:val="00B95CF1"/>
    <w:rsid w:val="00B95FEF"/>
    <w:rsid w:val="00B965EA"/>
    <w:rsid w:val="00B9663F"/>
    <w:rsid w:val="00BA06BC"/>
    <w:rsid w:val="00BA0CAD"/>
    <w:rsid w:val="00BA0DB3"/>
    <w:rsid w:val="00BA2BD4"/>
    <w:rsid w:val="00BA39D0"/>
    <w:rsid w:val="00BA44F9"/>
    <w:rsid w:val="00BA662F"/>
    <w:rsid w:val="00BB23D1"/>
    <w:rsid w:val="00BB25CF"/>
    <w:rsid w:val="00BB2E77"/>
    <w:rsid w:val="00BB39A7"/>
    <w:rsid w:val="00BB409B"/>
    <w:rsid w:val="00BB515A"/>
    <w:rsid w:val="00BB58E1"/>
    <w:rsid w:val="00BB5D9A"/>
    <w:rsid w:val="00BB5E0C"/>
    <w:rsid w:val="00BB5F26"/>
    <w:rsid w:val="00BC096F"/>
    <w:rsid w:val="00BC0B15"/>
    <w:rsid w:val="00BC172B"/>
    <w:rsid w:val="00BC29DF"/>
    <w:rsid w:val="00BC30FE"/>
    <w:rsid w:val="00BC39E9"/>
    <w:rsid w:val="00BC4228"/>
    <w:rsid w:val="00BC43F8"/>
    <w:rsid w:val="00BC6C94"/>
    <w:rsid w:val="00BC765B"/>
    <w:rsid w:val="00BD036C"/>
    <w:rsid w:val="00BD06A0"/>
    <w:rsid w:val="00BD07EA"/>
    <w:rsid w:val="00BD19D5"/>
    <w:rsid w:val="00BD1A1E"/>
    <w:rsid w:val="00BD25A3"/>
    <w:rsid w:val="00BD2665"/>
    <w:rsid w:val="00BD294E"/>
    <w:rsid w:val="00BD2CFD"/>
    <w:rsid w:val="00BD32A8"/>
    <w:rsid w:val="00BD32AE"/>
    <w:rsid w:val="00BD4F44"/>
    <w:rsid w:val="00BE11A1"/>
    <w:rsid w:val="00BE21CA"/>
    <w:rsid w:val="00BE3643"/>
    <w:rsid w:val="00BE3E07"/>
    <w:rsid w:val="00BE411D"/>
    <w:rsid w:val="00BE4459"/>
    <w:rsid w:val="00BE44C2"/>
    <w:rsid w:val="00BE470C"/>
    <w:rsid w:val="00BE5061"/>
    <w:rsid w:val="00BE605C"/>
    <w:rsid w:val="00BE693C"/>
    <w:rsid w:val="00BE7FA6"/>
    <w:rsid w:val="00BF0950"/>
    <w:rsid w:val="00BF0BD7"/>
    <w:rsid w:val="00BF1D31"/>
    <w:rsid w:val="00BF1FB0"/>
    <w:rsid w:val="00BF3290"/>
    <w:rsid w:val="00BF34DD"/>
    <w:rsid w:val="00BF3F44"/>
    <w:rsid w:val="00BF404C"/>
    <w:rsid w:val="00BF4F39"/>
    <w:rsid w:val="00BF53C8"/>
    <w:rsid w:val="00BF5404"/>
    <w:rsid w:val="00BF5EE1"/>
    <w:rsid w:val="00BF7E5E"/>
    <w:rsid w:val="00C0080B"/>
    <w:rsid w:val="00C00F8A"/>
    <w:rsid w:val="00C013B0"/>
    <w:rsid w:val="00C017D7"/>
    <w:rsid w:val="00C03ED5"/>
    <w:rsid w:val="00C0443B"/>
    <w:rsid w:val="00C05D10"/>
    <w:rsid w:val="00C0740F"/>
    <w:rsid w:val="00C076CF"/>
    <w:rsid w:val="00C10B32"/>
    <w:rsid w:val="00C10BCA"/>
    <w:rsid w:val="00C10C9B"/>
    <w:rsid w:val="00C11745"/>
    <w:rsid w:val="00C11D1E"/>
    <w:rsid w:val="00C12B74"/>
    <w:rsid w:val="00C12D0E"/>
    <w:rsid w:val="00C12ECE"/>
    <w:rsid w:val="00C13E8E"/>
    <w:rsid w:val="00C1636F"/>
    <w:rsid w:val="00C16C54"/>
    <w:rsid w:val="00C17AF3"/>
    <w:rsid w:val="00C206EB"/>
    <w:rsid w:val="00C20F4C"/>
    <w:rsid w:val="00C21EEA"/>
    <w:rsid w:val="00C2264F"/>
    <w:rsid w:val="00C22F76"/>
    <w:rsid w:val="00C23B6B"/>
    <w:rsid w:val="00C23E4E"/>
    <w:rsid w:val="00C24BD2"/>
    <w:rsid w:val="00C24C91"/>
    <w:rsid w:val="00C24EDD"/>
    <w:rsid w:val="00C259E7"/>
    <w:rsid w:val="00C27AE1"/>
    <w:rsid w:val="00C30303"/>
    <w:rsid w:val="00C30F5E"/>
    <w:rsid w:val="00C34154"/>
    <w:rsid w:val="00C34851"/>
    <w:rsid w:val="00C34C2A"/>
    <w:rsid w:val="00C36DAE"/>
    <w:rsid w:val="00C37BD4"/>
    <w:rsid w:val="00C407AD"/>
    <w:rsid w:val="00C40B7F"/>
    <w:rsid w:val="00C40FD9"/>
    <w:rsid w:val="00C41083"/>
    <w:rsid w:val="00C426BD"/>
    <w:rsid w:val="00C42A0A"/>
    <w:rsid w:val="00C42C84"/>
    <w:rsid w:val="00C42DD1"/>
    <w:rsid w:val="00C4492E"/>
    <w:rsid w:val="00C45B63"/>
    <w:rsid w:val="00C4658F"/>
    <w:rsid w:val="00C46949"/>
    <w:rsid w:val="00C477F4"/>
    <w:rsid w:val="00C47C75"/>
    <w:rsid w:val="00C505B6"/>
    <w:rsid w:val="00C50C57"/>
    <w:rsid w:val="00C51097"/>
    <w:rsid w:val="00C53048"/>
    <w:rsid w:val="00C535EC"/>
    <w:rsid w:val="00C5380C"/>
    <w:rsid w:val="00C5386F"/>
    <w:rsid w:val="00C53DF1"/>
    <w:rsid w:val="00C54A9E"/>
    <w:rsid w:val="00C552FD"/>
    <w:rsid w:val="00C5573E"/>
    <w:rsid w:val="00C56490"/>
    <w:rsid w:val="00C5657A"/>
    <w:rsid w:val="00C56607"/>
    <w:rsid w:val="00C5688F"/>
    <w:rsid w:val="00C56C54"/>
    <w:rsid w:val="00C573B4"/>
    <w:rsid w:val="00C57840"/>
    <w:rsid w:val="00C578DF"/>
    <w:rsid w:val="00C57CFC"/>
    <w:rsid w:val="00C602F5"/>
    <w:rsid w:val="00C6072B"/>
    <w:rsid w:val="00C62AE1"/>
    <w:rsid w:val="00C63165"/>
    <w:rsid w:val="00C6357E"/>
    <w:rsid w:val="00C64C43"/>
    <w:rsid w:val="00C6589C"/>
    <w:rsid w:val="00C65DA3"/>
    <w:rsid w:val="00C6798C"/>
    <w:rsid w:val="00C7029B"/>
    <w:rsid w:val="00C70BB2"/>
    <w:rsid w:val="00C713F0"/>
    <w:rsid w:val="00C71E27"/>
    <w:rsid w:val="00C73CDF"/>
    <w:rsid w:val="00C755C3"/>
    <w:rsid w:val="00C76422"/>
    <w:rsid w:val="00C76F4D"/>
    <w:rsid w:val="00C77F74"/>
    <w:rsid w:val="00C80FF8"/>
    <w:rsid w:val="00C81EB0"/>
    <w:rsid w:val="00C829AB"/>
    <w:rsid w:val="00C83887"/>
    <w:rsid w:val="00C8415D"/>
    <w:rsid w:val="00C844A3"/>
    <w:rsid w:val="00C84D6F"/>
    <w:rsid w:val="00C855B8"/>
    <w:rsid w:val="00C859B1"/>
    <w:rsid w:val="00C85EF6"/>
    <w:rsid w:val="00C868A0"/>
    <w:rsid w:val="00C91ED4"/>
    <w:rsid w:val="00C93967"/>
    <w:rsid w:val="00C941F2"/>
    <w:rsid w:val="00C94664"/>
    <w:rsid w:val="00C94766"/>
    <w:rsid w:val="00C94DF6"/>
    <w:rsid w:val="00C94F61"/>
    <w:rsid w:val="00C9750B"/>
    <w:rsid w:val="00C9781D"/>
    <w:rsid w:val="00C97D1D"/>
    <w:rsid w:val="00CA03A3"/>
    <w:rsid w:val="00CA0823"/>
    <w:rsid w:val="00CA0869"/>
    <w:rsid w:val="00CA0FB7"/>
    <w:rsid w:val="00CA1EA3"/>
    <w:rsid w:val="00CA3C90"/>
    <w:rsid w:val="00CA40AF"/>
    <w:rsid w:val="00CA424A"/>
    <w:rsid w:val="00CA484A"/>
    <w:rsid w:val="00CA6479"/>
    <w:rsid w:val="00CA7B0A"/>
    <w:rsid w:val="00CB0D1A"/>
    <w:rsid w:val="00CB1A9C"/>
    <w:rsid w:val="00CB29BA"/>
    <w:rsid w:val="00CB4781"/>
    <w:rsid w:val="00CB58E2"/>
    <w:rsid w:val="00CB7506"/>
    <w:rsid w:val="00CB7B7F"/>
    <w:rsid w:val="00CC082E"/>
    <w:rsid w:val="00CC0B40"/>
    <w:rsid w:val="00CC11F7"/>
    <w:rsid w:val="00CC20D6"/>
    <w:rsid w:val="00CC29A7"/>
    <w:rsid w:val="00CC31FA"/>
    <w:rsid w:val="00CC4871"/>
    <w:rsid w:val="00CC6893"/>
    <w:rsid w:val="00CC7364"/>
    <w:rsid w:val="00CC7804"/>
    <w:rsid w:val="00CD0219"/>
    <w:rsid w:val="00CD0F5C"/>
    <w:rsid w:val="00CD11C5"/>
    <w:rsid w:val="00CD13EA"/>
    <w:rsid w:val="00CD14D5"/>
    <w:rsid w:val="00CD18F4"/>
    <w:rsid w:val="00CD1B72"/>
    <w:rsid w:val="00CD1E10"/>
    <w:rsid w:val="00CD2387"/>
    <w:rsid w:val="00CD27BA"/>
    <w:rsid w:val="00CD4515"/>
    <w:rsid w:val="00CD51E6"/>
    <w:rsid w:val="00CD73B5"/>
    <w:rsid w:val="00CE0BF4"/>
    <w:rsid w:val="00CE12BD"/>
    <w:rsid w:val="00CE2816"/>
    <w:rsid w:val="00CE2884"/>
    <w:rsid w:val="00CE4251"/>
    <w:rsid w:val="00CE445C"/>
    <w:rsid w:val="00CE531F"/>
    <w:rsid w:val="00CE552D"/>
    <w:rsid w:val="00CE6C67"/>
    <w:rsid w:val="00CE7E9C"/>
    <w:rsid w:val="00CF013D"/>
    <w:rsid w:val="00CF10F6"/>
    <w:rsid w:val="00CF1205"/>
    <w:rsid w:val="00CF12A8"/>
    <w:rsid w:val="00CF27EC"/>
    <w:rsid w:val="00CF29B7"/>
    <w:rsid w:val="00CF4344"/>
    <w:rsid w:val="00D0006E"/>
    <w:rsid w:val="00D00AD4"/>
    <w:rsid w:val="00D00B0B"/>
    <w:rsid w:val="00D033EE"/>
    <w:rsid w:val="00D03675"/>
    <w:rsid w:val="00D0390D"/>
    <w:rsid w:val="00D0766A"/>
    <w:rsid w:val="00D10B7F"/>
    <w:rsid w:val="00D11319"/>
    <w:rsid w:val="00D12794"/>
    <w:rsid w:val="00D133BE"/>
    <w:rsid w:val="00D13D39"/>
    <w:rsid w:val="00D14536"/>
    <w:rsid w:val="00D16659"/>
    <w:rsid w:val="00D16C39"/>
    <w:rsid w:val="00D202CC"/>
    <w:rsid w:val="00D205D0"/>
    <w:rsid w:val="00D20B81"/>
    <w:rsid w:val="00D218E8"/>
    <w:rsid w:val="00D219F7"/>
    <w:rsid w:val="00D22692"/>
    <w:rsid w:val="00D22F0F"/>
    <w:rsid w:val="00D23605"/>
    <w:rsid w:val="00D23768"/>
    <w:rsid w:val="00D24D2E"/>
    <w:rsid w:val="00D24FB6"/>
    <w:rsid w:val="00D25B63"/>
    <w:rsid w:val="00D25BCB"/>
    <w:rsid w:val="00D25F2B"/>
    <w:rsid w:val="00D26429"/>
    <w:rsid w:val="00D27291"/>
    <w:rsid w:val="00D27413"/>
    <w:rsid w:val="00D27431"/>
    <w:rsid w:val="00D274B8"/>
    <w:rsid w:val="00D2C9C8"/>
    <w:rsid w:val="00D31F40"/>
    <w:rsid w:val="00D33AFC"/>
    <w:rsid w:val="00D33D54"/>
    <w:rsid w:val="00D3470A"/>
    <w:rsid w:val="00D36909"/>
    <w:rsid w:val="00D36E12"/>
    <w:rsid w:val="00D41B31"/>
    <w:rsid w:val="00D44323"/>
    <w:rsid w:val="00D444E0"/>
    <w:rsid w:val="00D454C6"/>
    <w:rsid w:val="00D465E3"/>
    <w:rsid w:val="00D50021"/>
    <w:rsid w:val="00D5104D"/>
    <w:rsid w:val="00D51C7C"/>
    <w:rsid w:val="00D51FA6"/>
    <w:rsid w:val="00D52527"/>
    <w:rsid w:val="00D52F3C"/>
    <w:rsid w:val="00D5325A"/>
    <w:rsid w:val="00D5406D"/>
    <w:rsid w:val="00D556D5"/>
    <w:rsid w:val="00D5681C"/>
    <w:rsid w:val="00D56A98"/>
    <w:rsid w:val="00D606F0"/>
    <w:rsid w:val="00D623D1"/>
    <w:rsid w:val="00D64182"/>
    <w:rsid w:val="00D64E60"/>
    <w:rsid w:val="00D668FE"/>
    <w:rsid w:val="00D674F1"/>
    <w:rsid w:val="00D6789F"/>
    <w:rsid w:val="00D704BD"/>
    <w:rsid w:val="00D70686"/>
    <w:rsid w:val="00D72465"/>
    <w:rsid w:val="00D73FA6"/>
    <w:rsid w:val="00D74EC3"/>
    <w:rsid w:val="00D75294"/>
    <w:rsid w:val="00D76A70"/>
    <w:rsid w:val="00D76BAD"/>
    <w:rsid w:val="00D76F3F"/>
    <w:rsid w:val="00D817CE"/>
    <w:rsid w:val="00D827A6"/>
    <w:rsid w:val="00D8281D"/>
    <w:rsid w:val="00D846C7"/>
    <w:rsid w:val="00D84D89"/>
    <w:rsid w:val="00D85187"/>
    <w:rsid w:val="00D85BA4"/>
    <w:rsid w:val="00D86203"/>
    <w:rsid w:val="00D867FA"/>
    <w:rsid w:val="00D86C0B"/>
    <w:rsid w:val="00D872D8"/>
    <w:rsid w:val="00D9004A"/>
    <w:rsid w:val="00D90878"/>
    <w:rsid w:val="00D920FF"/>
    <w:rsid w:val="00D938D7"/>
    <w:rsid w:val="00D9475D"/>
    <w:rsid w:val="00D94904"/>
    <w:rsid w:val="00D94C5B"/>
    <w:rsid w:val="00D96B54"/>
    <w:rsid w:val="00D97DE6"/>
    <w:rsid w:val="00DA0132"/>
    <w:rsid w:val="00DA14A1"/>
    <w:rsid w:val="00DA166E"/>
    <w:rsid w:val="00DA1791"/>
    <w:rsid w:val="00DA2729"/>
    <w:rsid w:val="00DA3404"/>
    <w:rsid w:val="00DA3CDC"/>
    <w:rsid w:val="00DA3FAB"/>
    <w:rsid w:val="00DA4143"/>
    <w:rsid w:val="00DA516B"/>
    <w:rsid w:val="00DA6071"/>
    <w:rsid w:val="00DA60BB"/>
    <w:rsid w:val="00DA659C"/>
    <w:rsid w:val="00DA6885"/>
    <w:rsid w:val="00DA69AC"/>
    <w:rsid w:val="00DA74D8"/>
    <w:rsid w:val="00DA78A6"/>
    <w:rsid w:val="00DA7C00"/>
    <w:rsid w:val="00DB10E5"/>
    <w:rsid w:val="00DB1598"/>
    <w:rsid w:val="00DB41B8"/>
    <w:rsid w:val="00DB4BAB"/>
    <w:rsid w:val="00DB5312"/>
    <w:rsid w:val="00DB64C0"/>
    <w:rsid w:val="00DB7901"/>
    <w:rsid w:val="00DC0D3C"/>
    <w:rsid w:val="00DC125E"/>
    <w:rsid w:val="00DC1E09"/>
    <w:rsid w:val="00DC1EEC"/>
    <w:rsid w:val="00DC1FA3"/>
    <w:rsid w:val="00DC3675"/>
    <w:rsid w:val="00DC6EE1"/>
    <w:rsid w:val="00DD0C06"/>
    <w:rsid w:val="00DD0D71"/>
    <w:rsid w:val="00DD1436"/>
    <w:rsid w:val="00DD1E2C"/>
    <w:rsid w:val="00DD2455"/>
    <w:rsid w:val="00DD28B9"/>
    <w:rsid w:val="00DD28C1"/>
    <w:rsid w:val="00DD2C9D"/>
    <w:rsid w:val="00DD2E36"/>
    <w:rsid w:val="00DD3C7E"/>
    <w:rsid w:val="00DD3CD0"/>
    <w:rsid w:val="00DD4054"/>
    <w:rsid w:val="00DD43CC"/>
    <w:rsid w:val="00DD568A"/>
    <w:rsid w:val="00DD5D5A"/>
    <w:rsid w:val="00DD7838"/>
    <w:rsid w:val="00DE02E9"/>
    <w:rsid w:val="00DE1A6C"/>
    <w:rsid w:val="00DE2260"/>
    <w:rsid w:val="00DE2898"/>
    <w:rsid w:val="00DE503F"/>
    <w:rsid w:val="00DE59C9"/>
    <w:rsid w:val="00DE5D72"/>
    <w:rsid w:val="00DE5E44"/>
    <w:rsid w:val="00DE6163"/>
    <w:rsid w:val="00DE70A9"/>
    <w:rsid w:val="00DF0059"/>
    <w:rsid w:val="00DF02C4"/>
    <w:rsid w:val="00DF0A9F"/>
    <w:rsid w:val="00DF1522"/>
    <w:rsid w:val="00DF26B3"/>
    <w:rsid w:val="00DF2F75"/>
    <w:rsid w:val="00DF4D9D"/>
    <w:rsid w:val="00DF5039"/>
    <w:rsid w:val="00DF5891"/>
    <w:rsid w:val="00DF6558"/>
    <w:rsid w:val="00DF70EC"/>
    <w:rsid w:val="00DF75EA"/>
    <w:rsid w:val="00DF79A7"/>
    <w:rsid w:val="00E00264"/>
    <w:rsid w:val="00E0059A"/>
    <w:rsid w:val="00E0125C"/>
    <w:rsid w:val="00E019E1"/>
    <w:rsid w:val="00E01CC4"/>
    <w:rsid w:val="00E01D46"/>
    <w:rsid w:val="00E028AC"/>
    <w:rsid w:val="00E029D1"/>
    <w:rsid w:val="00E043BB"/>
    <w:rsid w:val="00E048EE"/>
    <w:rsid w:val="00E04E08"/>
    <w:rsid w:val="00E062DE"/>
    <w:rsid w:val="00E064A1"/>
    <w:rsid w:val="00E07DFE"/>
    <w:rsid w:val="00E07FD8"/>
    <w:rsid w:val="00E144E4"/>
    <w:rsid w:val="00E14E0F"/>
    <w:rsid w:val="00E160DD"/>
    <w:rsid w:val="00E174C5"/>
    <w:rsid w:val="00E20A6A"/>
    <w:rsid w:val="00E21732"/>
    <w:rsid w:val="00E21740"/>
    <w:rsid w:val="00E22095"/>
    <w:rsid w:val="00E239AB"/>
    <w:rsid w:val="00E23CBE"/>
    <w:rsid w:val="00E24BF2"/>
    <w:rsid w:val="00E24F7C"/>
    <w:rsid w:val="00E25C6B"/>
    <w:rsid w:val="00E270B5"/>
    <w:rsid w:val="00E3074F"/>
    <w:rsid w:val="00E30D3E"/>
    <w:rsid w:val="00E30DFE"/>
    <w:rsid w:val="00E31859"/>
    <w:rsid w:val="00E32788"/>
    <w:rsid w:val="00E328C5"/>
    <w:rsid w:val="00E32E18"/>
    <w:rsid w:val="00E33A3C"/>
    <w:rsid w:val="00E33E88"/>
    <w:rsid w:val="00E33F64"/>
    <w:rsid w:val="00E3412F"/>
    <w:rsid w:val="00E34B76"/>
    <w:rsid w:val="00E34C8F"/>
    <w:rsid w:val="00E3515A"/>
    <w:rsid w:val="00E35C65"/>
    <w:rsid w:val="00E36437"/>
    <w:rsid w:val="00E36620"/>
    <w:rsid w:val="00E37A64"/>
    <w:rsid w:val="00E4016F"/>
    <w:rsid w:val="00E406E6"/>
    <w:rsid w:val="00E40FE1"/>
    <w:rsid w:val="00E41041"/>
    <w:rsid w:val="00E419F3"/>
    <w:rsid w:val="00E41D58"/>
    <w:rsid w:val="00E43705"/>
    <w:rsid w:val="00E43CC3"/>
    <w:rsid w:val="00E460D5"/>
    <w:rsid w:val="00E460F5"/>
    <w:rsid w:val="00E46C07"/>
    <w:rsid w:val="00E46D18"/>
    <w:rsid w:val="00E5028F"/>
    <w:rsid w:val="00E50644"/>
    <w:rsid w:val="00E50F12"/>
    <w:rsid w:val="00E513D2"/>
    <w:rsid w:val="00E5248A"/>
    <w:rsid w:val="00E52836"/>
    <w:rsid w:val="00E52B72"/>
    <w:rsid w:val="00E55823"/>
    <w:rsid w:val="00E5657C"/>
    <w:rsid w:val="00E565AA"/>
    <w:rsid w:val="00E56EDF"/>
    <w:rsid w:val="00E57C8F"/>
    <w:rsid w:val="00E6210D"/>
    <w:rsid w:val="00E634BD"/>
    <w:rsid w:val="00E64AA6"/>
    <w:rsid w:val="00E66353"/>
    <w:rsid w:val="00E67314"/>
    <w:rsid w:val="00E67EB3"/>
    <w:rsid w:val="00E70AAE"/>
    <w:rsid w:val="00E70F03"/>
    <w:rsid w:val="00E73CB9"/>
    <w:rsid w:val="00E73E03"/>
    <w:rsid w:val="00E7405C"/>
    <w:rsid w:val="00E74189"/>
    <w:rsid w:val="00E75A1F"/>
    <w:rsid w:val="00E7680E"/>
    <w:rsid w:val="00E821D8"/>
    <w:rsid w:val="00E83511"/>
    <w:rsid w:val="00E83A29"/>
    <w:rsid w:val="00E84DC2"/>
    <w:rsid w:val="00E8537B"/>
    <w:rsid w:val="00E854BA"/>
    <w:rsid w:val="00E857A8"/>
    <w:rsid w:val="00E8646A"/>
    <w:rsid w:val="00E875EA"/>
    <w:rsid w:val="00E90A47"/>
    <w:rsid w:val="00E91C06"/>
    <w:rsid w:val="00E92D8C"/>
    <w:rsid w:val="00E93FF9"/>
    <w:rsid w:val="00E94160"/>
    <w:rsid w:val="00E95661"/>
    <w:rsid w:val="00E95EA3"/>
    <w:rsid w:val="00E95F59"/>
    <w:rsid w:val="00EA02CC"/>
    <w:rsid w:val="00EA4446"/>
    <w:rsid w:val="00EA4A10"/>
    <w:rsid w:val="00EA6AB5"/>
    <w:rsid w:val="00EA74E7"/>
    <w:rsid w:val="00EA755C"/>
    <w:rsid w:val="00EB22B5"/>
    <w:rsid w:val="00EB25E4"/>
    <w:rsid w:val="00EB2D44"/>
    <w:rsid w:val="00EB3809"/>
    <w:rsid w:val="00EB4837"/>
    <w:rsid w:val="00EB4945"/>
    <w:rsid w:val="00EB5801"/>
    <w:rsid w:val="00EB583B"/>
    <w:rsid w:val="00EB6122"/>
    <w:rsid w:val="00EB6EBA"/>
    <w:rsid w:val="00EB6F2F"/>
    <w:rsid w:val="00EB7158"/>
    <w:rsid w:val="00EC0884"/>
    <w:rsid w:val="00EC194D"/>
    <w:rsid w:val="00EC1E05"/>
    <w:rsid w:val="00EC4615"/>
    <w:rsid w:val="00EC4A63"/>
    <w:rsid w:val="00EC4B3E"/>
    <w:rsid w:val="00EC4CE2"/>
    <w:rsid w:val="00EC5360"/>
    <w:rsid w:val="00EC55FA"/>
    <w:rsid w:val="00EC5ACA"/>
    <w:rsid w:val="00EC5D66"/>
    <w:rsid w:val="00EC640D"/>
    <w:rsid w:val="00EC64F2"/>
    <w:rsid w:val="00ED05B1"/>
    <w:rsid w:val="00ED0EE9"/>
    <w:rsid w:val="00ED0F37"/>
    <w:rsid w:val="00ED17D7"/>
    <w:rsid w:val="00ED1EE5"/>
    <w:rsid w:val="00ED2588"/>
    <w:rsid w:val="00ED438E"/>
    <w:rsid w:val="00ED54A0"/>
    <w:rsid w:val="00ED5F62"/>
    <w:rsid w:val="00ED5FE8"/>
    <w:rsid w:val="00ED67BC"/>
    <w:rsid w:val="00ED7D22"/>
    <w:rsid w:val="00EE06AA"/>
    <w:rsid w:val="00EE09F6"/>
    <w:rsid w:val="00EE204C"/>
    <w:rsid w:val="00EE3267"/>
    <w:rsid w:val="00EE3519"/>
    <w:rsid w:val="00EE4E75"/>
    <w:rsid w:val="00EE638A"/>
    <w:rsid w:val="00EF06B8"/>
    <w:rsid w:val="00EF0F29"/>
    <w:rsid w:val="00EF2118"/>
    <w:rsid w:val="00EF292A"/>
    <w:rsid w:val="00EF3DEC"/>
    <w:rsid w:val="00EF3F47"/>
    <w:rsid w:val="00EF46CE"/>
    <w:rsid w:val="00EF55EF"/>
    <w:rsid w:val="00EF5AFF"/>
    <w:rsid w:val="00EF5BFA"/>
    <w:rsid w:val="00EF68E5"/>
    <w:rsid w:val="00EF7053"/>
    <w:rsid w:val="00EF7694"/>
    <w:rsid w:val="00F0096E"/>
    <w:rsid w:val="00F009A3"/>
    <w:rsid w:val="00F00A76"/>
    <w:rsid w:val="00F00F29"/>
    <w:rsid w:val="00F0231D"/>
    <w:rsid w:val="00F02A59"/>
    <w:rsid w:val="00F0348C"/>
    <w:rsid w:val="00F03CA8"/>
    <w:rsid w:val="00F04981"/>
    <w:rsid w:val="00F04F8A"/>
    <w:rsid w:val="00F053CB"/>
    <w:rsid w:val="00F06045"/>
    <w:rsid w:val="00F06DE8"/>
    <w:rsid w:val="00F06EA7"/>
    <w:rsid w:val="00F10D22"/>
    <w:rsid w:val="00F11113"/>
    <w:rsid w:val="00F13325"/>
    <w:rsid w:val="00F1334F"/>
    <w:rsid w:val="00F13409"/>
    <w:rsid w:val="00F13D84"/>
    <w:rsid w:val="00F14CEC"/>
    <w:rsid w:val="00F14DFD"/>
    <w:rsid w:val="00F16209"/>
    <w:rsid w:val="00F16735"/>
    <w:rsid w:val="00F17FD7"/>
    <w:rsid w:val="00F21C1D"/>
    <w:rsid w:val="00F224BD"/>
    <w:rsid w:val="00F235CB"/>
    <w:rsid w:val="00F23882"/>
    <w:rsid w:val="00F23FA2"/>
    <w:rsid w:val="00F240E4"/>
    <w:rsid w:val="00F245DA"/>
    <w:rsid w:val="00F24BDC"/>
    <w:rsid w:val="00F2595E"/>
    <w:rsid w:val="00F26526"/>
    <w:rsid w:val="00F268AA"/>
    <w:rsid w:val="00F32EA0"/>
    <w:rsid w:val="00F334E1"/>
    <w:rsid w:val="00F34B16"/>
    <w:rsid w:val="00F35DE0"/>
    <w:rsid w:val="00F36776"/>
    <w:rsid w:val="00F3788B"/>
    <w:rsid w:val="00F418E4"/>
    <w:rsid w:val="00F41C64"/>
    <w:rsid w:val="00F4224B"/>
    <w:rsid w:val="00F4387D"/>
    <w:rsid w:val="00F44924"/>
    <w:rsid w:val="00F4596B"/>
    <w:rsid w:val="00F45CCD"/>
    <w:rsid w:val="00F50306"/>
    <w:rsid w:val="00F503A4"/>
    <w:rsid w:val="00F51BAE"/>
    <w:rsid w:val="00F51C69"/>
    <w:rsid w:val="00F51DFC"/>
    <w:rsid w:val="00F51EE6"/>
    <w:rsid w:val="00F55A7B"/>
    <w:rsid w:val="00F55DF3"/>
    <w:rsid w:val="00F5643D"/>
    <w:rsid w:val="00F57581"/>
    <w:rsid w:val="00F579FE"/>
    <w:rsid w:val="00F626F7"/>
    <w:rsid w:val="00F62A9C"/>
    <w:rsid w:val="00F630F2"/>
    <w:rsid w:val="00F6380D"/>
    <w:rsid w:val="00F648A4"/>
    <w:rsid w:val="00F65874"/>
    <w:rsid w:val="00F65F98"/>
    <w:rsid w:val="00F66A41"/>
    <w:rsid w:val="00F67153"/>
    <w:rsid w:val="00F67CE3"/>
    <w:rsid w:val="00F75676"/>
    <w:rsid w:val="00F764A0"/>
    <w:rsid w:val="00F775D8"/>
    <w:rsid w:val="00F77618"/>
    <w:rsid w:val="00F776A9"/>
    <w:rsid w:val="00F77885"/>
    <w:rsid w:val="00F77CBF"/>
    <w:rsid w:val="00F809CA"/>
    <w:rsid w:val="00F82E80"/>
    <w:rsid w:val="00F83F6B"/>
    <w:rsid w:val="00F84991"/>
    <w:rsid w:val="00F857EF"/>
    <w:rsid w:val="00F85DEB"/>
    <w:rsid w:val="00F85F15"/>
    <w:rsid w:val="00F85FF5"/>
    <w:rsid w:val="00F8674F"/>
    <w:rsid w:val="00F86ED9"/>
    <w:rsid w:val="00F8716B"/>
    <w:rsid w:val="00F90289"/>
    <w:rsid w:val="00F914F5"/>
    <w:rsid w:val="00F92CFA"/>
    <w:rsid w:val="00F94090"/>
    <w:rsid w:val="00F944DF"/>
    <w:rsid w:val="00F94F30"/>
    <w:rsid w:val="00F9683C"/>
    <w:rsid w:val="00F97A67"/>
    <w:rsid w:val="00F97A89"/>
    <w:rsid w:val="00FA04DC"/>
    <w:rsid w:val="00FA0D2F"/>
    <w:rsid w:val="00FA2F28"/>
    <w:rsid w:val="00FA634C"/>
    <w:rsid w:val="00FB06BB"/>
    <w:rsid w:val="00FB19A0"/>
    <w:rsid w:val="00FB3656"/>
    <w:rsid w:val="00FB471A"/>
    <w:rsid w:val="00FB5789"/>
    <w:rsid w:val="00FB5B0E"/>
    <w:rsid w:val="00FB7110"/>
    <w:rsid w:val="00FB71BE"/>
    <w:rsid w:val="00FB77AE"/>
    <w:rsid w:val="00FC0EEC"/>
    <w:rsid w:val="00FC150F"/>
    <w:rsid w:val="00FC3395"/>
    <w:rsid w:val="00FC6500"/>
    <w:rsid w:val="00FD04D2"/>
    <w:rsid w:val="00FD1388"/>
    <w:rsid w:val="00FD1596"/>
    <w:rsid w:val="00FD1FE4"/>
    <w:rsid w:val="00FD257A"/>
    <w:rsid w:val="00FD2AD9"/>
    <w:rsid w:val="00FD2FE5"/>
    <w:rsid w:val="00FD3BF3"/>
    <w:rsid w:val="00FD47C6"/>
    <w:rsid w:val="00FD5D9E"/>
    <w:rsid w:val="00FD6E84"/>
    <w:rsid w:val="00FD703F"/>
    <w:rsid w:val="00FD70EB"/>
    <w:rsid w:val="00FE0C46"/>
    <w:rsid w:val="00FE0D6C"/>
    <w:rsid w:val="00FE1D9A"/>
    <w:rsid w:val="00FE2FC3"/>
    <w:rsid w:val="00FE4AD7"/>
    <w:rsid w:val="00FE5B4C"/>
    <w:rsid w:val="00FF1A86"/>
    <w:rsid w:val="00FF3D86"/>
    <w:rsid w:val="00FF5B00"/>
    <w:rsid w:val="00FF5F89"/>
    <w:rsid w:val="00FF677C"/>
    <w:rsid w:val="00FF753A"/>
    <w:rsid w:val="010ABDFA"/>
    <w:rsid w:val="012D062F"/>
    <w:rsid w:val="0139AD47"/>
    <w:rsid w:val="0175A31F"/>
    <w:rsid w:val="02144803"/>
    <w:rsid w:val="0216B476"/>
    <w:rsid w:val="025474D6"/>
    <w:rsid w:val="02ED0CAC"/>
    <w:rsid w:val="031E44A2"/>
    <w:rsid w:val="033BA556"/>
    <w:rsid w:val="039699EF"/>
    <w:rsid w:val="03D0F566"/>
    <w:rsid w:val="04131DA9"/>
    <w:rsid w:val="0475002E"/>
    <w:rsid w:val="052D4C73"/>
    <w:rsid w:val="056563AA"/>
    <w:rsid w:val="057DD625"/>
    <w:rsid w:val="06564843"/>
    <w:rsid w:val="06D7D758"/>
    <w:rsid w:val="074F79E6"/>
    <w:rsid w:val="075DFFF0"/>
    <w:rsid w:val="07FB92B6"/>
    <w:rsid w:val="0862C84A"/>
    <w:rsid w:val="08674306"/>
    <w:rsid w:val="087495CB"/>
    <w:rsid w:val="08A29ABF"/>
    <w:rsid w:val="0931A2F7"/>
    <w:rsid w:val="0958FDC0"/>
    <w:rsid w:val="096ED429"/>
    <w:rsid w:val="0974A7AB"/>
    <w:rsid w:val="09C1FA1C"/>
    <w:rsid w:val="09C9F506"/>
    <w:rsid w:val="09CECF49"/>
    <w:rsid w:val="09EE8D2A"/>
    <w:rsid w:val="0A55D25C"/>
    <w:rsid w:val="0A5E4928"/>
    <w:rsid w:val="0AB166CE"/>
    <w:rsid w:val="0B1024AF"/>
    <w:rsid w:val="0B331450"/>
    <w:rsid w:val="0B3FAB61"/>
    <w:rsid w:val="0B85FEBC"/>
    <w:rsid w:val="0BB446A9"/>
    <w:rsid w:val="0BBCD903"/>
    <w:rsid w:val="0C1334CE"/>
    <w:rsid w:val="0C68103A"/>
    <w:rsid w:val="0C84F111"/>
    <w:rsid w:val="0CED9CB6"/>
    <w:rsid w:val="0D1570C7"/>
    <w:rsid w:val="0D334B70"/>
    <w:rsid w:val="0E2B38E5"/>
    <w:rsid w:val="0E3257C9"/>
    <w:rsid w:val="0EE0DE5D"/>
    <w:rsid w:val="0EFD8DD5"/>
    <w:rsid w:val="0F0E9B57"/>
    <w:rsid w:val="0F106776"/>
    <w:rsid w:val="0F5636CB"/>
    <w:rsid w:val="0FD30EF6"/>
    <w:rsid w:val="0FD70D91"/>
    <w:rsid w:val="1113E78D"/>
    <w:rsid w:val="1186AC9A"/>
    <w:rsid w:val="1210287C"/>
    <w:rsid w:val="12604164"/>
    <w:rsid w:val="13169F04"/>
    <w:rsid w:val="1318C349"/>
    <w:rsid w:val="13458451"/>
    <w:rsid w:val="1353F250"/>
    <w:rsid w:val="1364588D"/>
    <w:rsid w:val="1397AE3F"/>
    <w:rsid w:val="13E1167E"/>
    <w:rsid w:val="14701A88"/>
    <w:rsid w:val="14873C26"/>
    <w:rsid w:val="15B1C089"/>
    <w:rsid w:val="164EA0C6"/>
    <w:rsid w:val="1655A8BE"/>
    <w:rsid w:val="16E44BA1"/>
    <w:rsid w:val="170268E3"/>
    <w:rsid w:val="177675B9"/>
    <w:rsid w:val="187247D0"/>
    <w:rsid w:val="18F623FE"/>
    <w:rsid w:val="191F62EB"/>
    <w:rsid w:val="19473351"/>
    <w:rsid w:val="1972F238"/>
    <w:rsid w:val="198E63EA"/>
    <w:rsid w:val="19A9106D"/>
    <w:rsid w:val="19D26323"/>
    <w:rsid w:val="1A8CC578"/>
    <w:rsid w:val="1AAF5F1F"/>
    <w:rsid w:val="1AB63534"/>
    <w:rsid w:val="1AE973D1"/>
    <w:rsid w:val="1BF142A9"/>
    <w:rsid w:val="1BF6D545"/>
    <w:rsid w:val="1BFDD198"/>
    <w:rsid w:val="1C0BCA35"/>
    <w:rsid w:val="1C5266DF"/>
    <w:rsid w:val="1CA9E77B"/>
    <w:rsid w:val="1CBB176B"/>
    <w:rsid w:val="1D296605"/>
    <w:rsid w:val="1DFA4223"/>
    <w:rsid w:val="1E4EF9B3"/>
    <w:rsid w:val="1F282AB3"/>
    <w:rsid w:val="1F6EB772"/>
    <w:rsid w:val="1F70AE25"/>
    <w:rsid w:val="1FBBB48F"/>
    <w:rsid w:val="1FE48ED7"/>
    <w:rsid w:val="1FFD37B0"/>
    <w:rsid w:val="2008C32A"/>
    <w:rsid w:val="200C990E"/>
    <w:rsid w:val="21165193"/>
    <w:rsid w:val="2176AEE8"/>
    <w:rsid w:val="21793D71"/>
    <w:rsid w:val="217F4573"/>
    <w:rsid w:val="21FF9394"/>
    <w:rsid w:val="22173075"/>
    <w:rsid w:val="23B4AA77"/>
    <w:rsid w:val="240430E5"/>
    <w:rsid w:val="246FA107"/>
    <w:rsid w:val="2480B501"/>
    <w:rsid w:val="2516EDA6"/>
    <w:rsid w:val="2594943C"/>
    <w:rsid w:val="25CF3B36"/>
    <w:rsid w:val="260F9BCB"/>
    <w:rsid w:val="267A873E"/>
    <w:rsid w:val="26FE8DCF"/>
    <w:rsid w:val="2703AF4E"/>
    <w:rsid w:val="27CE80B2"/>
    <w:rsid w:val="27F395F8"/>
    <w:rsid w:val="281DF6CF"/>
    <w:rsid w:val="28324B63"/>
    <w:rsid w:val="2850DC69"/>
    <w:rsid w:val="2858C1C5"/>
    <w:rsid w:val="28A14FD7"/>
    <w:rsid w:val="29BC255F"/>
    <w:rsid w:val="29F34BA9"/>
    <w:rsid w:val="2A42A482"/>
    <w:rsid w:val="2A78C65D"/>
    <w:rsid w:val="2AD3C141"/>
    <w:rsid w:val="2BABB95A"/>
    <w:rsid w:val="2BD44036"/>
    <w:rsid w:val="2BE32B5E"/>
    <w:rsid w:val="2C0B8258"/>
    <w:rsid w:val="2C56AD37"/>
    <w:rsid w:val="2C655541"/>
    <w:rsid w:val="2C6D3316"/>
    <w:rsid w:val="2C83F4E3"/>
    <w:rsid w:val="2C841BED"/>
    <w:rsid w:val="2E0A2705"/>
    <w:rsid w:val="2E236D76"/>
    <w:rsid w:val="2E49C4B7"/>
    <w:rsid w:val="2EA9E2B1"/>
    <w:rsid w:val="2ECFF418"/>
    <w:rsid w:val="2EF0DBE6"/>
    <w:rsid w:val="2F10B4FD"/>
    <w:rsid w:val="2F411619"/>
    <w:rsid w:val="2F6504CF"/>
    <w:rsid w:val="2F8FA500"/>
    <w:rsid w:val="3168FF24"/>
    <w:rsid w:val="317C6D7B"/>
    <w:rsid w:val="318F951C"/>
    <w:rsid w:val="336CF72C"/>
    <w:rsid w:val="346C16E4"/>
    <w:rsid w:val="348E6710"/>
    <w:rsid w:val="355D6C58"/>
    <w:rsid w:val="358AA221"/>
    <w:rsid w:val="359109C1"/>
    <w:rsid w:val="35F15C76"/>
    <w:rsid w:val="36020BB3"/>
    <w:rsid w:val="3622CD63"/>
    <w:rsid w:val="3685C35B"/>
    <w:rsid w:val="37CF4942"/>
    <w:rsid w:val="3874B0A9"/>
    <w:rsid w:val="38A9DCEC"/>
    <w:rsid w:val="390F61AF"/>
    <w:rsid w:val="3961040F"/>
    <w:rsid w:val="3B3D90FA"/>
    <w:rsid w:val="3B3FCA50"/>
    <w:rsid w:val="3B606B4D"/>
    <w:rsid w:val="3B9EACC6"/>
    <w:rsid w:val="3BCF074B"/>
    <w:rsid w:val="3C05158A"/>
    <w:rsid w:val="3C20900F"/>
    <w:rsid w:val="3CB2903C"/>
    <w:rsid w:val="3CD1FA74"/>
    <w:rsid w:val="3D1F3C56"/>
    <w:rsid w:val="3D427295"/>
    <w:rsid w:val="3D6C43CE"/>
    <w:rsid w:val="3D9A57E4"/>
    <w:rsid w:val="3DAADCB5"/>
    <w:rsid w:val="3DC3BCB7"/>
    <w:rsid w:val="3DE9582E"/>
    <w:rsid w:val="3DF91C81"/>
    <w:rsid w:val="3E0C02AF"/>
    <w:rsid w:val="3E329E70"/>
    <w:rsid w:val="3E9FF563"/>
    <w:rsid w:val="3EF66B7F"/>
    <w:rsid w:val="3F7421E5"/>
    <w:rsid w:val="3FEE176B"/>
    <w:rsid w:val="3FFCA32D"/>
    <w:rsid w:val="40082DE8"/>
    <w:rsid w:val="40262634"/>
    <w:rsid w:val="40540BC5"/>
    <w:rsid w:val="40BCC562"/>
    <w:rsid w:val="4121F6E4"/>
    <w:rsid w:val="41487A84"/>
    <w:rsid w:val="41EB01B6"/>
    <w:rsid w:val="4229A43A"/>
    <w:rsid w:val="428D3C48"/>
    <w:rsid w:val="42B83A6C"/>
    <w:rsid w:val="42EDF539"/>
    <w:rsid w:val="436044AB"/>
    <w:rsid w:val="4382EC90"/>
    <w:rsid w:val="43A02896"/>
    <w:rsid w:val="442B9F7C"/>
    <w:rsid w:val="4454F0C1"/>
    <w:rsid w:val="44A3534A"/>
    <w:rsid w:val="44B72C24"/>
    <w:rsid w:val="44D51535"/>
    <w:rsid w:val="45251E9A"/>
    <w:rsid w:val="453B8AE4"/>
    <w:rsid w:val="45497FC2"/>
    <w:rsid w:val="455B9694"/>
    <w:rsid w:val="46038C5A"/>
    <w:rsid w:val="46EBCBD6"/>
    <w:rsid w:val="46F2ED72"/>
    <w:rsid w:val="46F7FC5C"/>
    <w:rsid w:val="4711FA9B"/>
    <w:rsid w:val="47841B85"/>
    <w:rsid w:val="47BB0A24"/>
    <w:rsid w:val="47C15C31"/>
    <w:rsid w:val="4801B04A"/>
    <w:rsid w:val="4830C7FF"/>
    <w:rsid w:val="48BB8215"/>
    <w:rsid w:val="48FC7EF4"/>
    <w:rsid w:val="497A6DFF"/>
    <w:rsid w:val="4A1E1E8B"/>
    <w:rsid w:val="4B6FCCDA"/>
    <w:rsid w:val="4B74028F"/>
    <w:rsid w:val="4C1C12C1"/>
    <w:rsid w:val="4C21EC4B"/>
    <w:rsid w:val="4C7F1DFA"/>
    <w:rsid w:val="4D4DDE2E"/>
    <w:rsid w:val="4D78FD46"/>
    <w:rsid w:val="4D822F68"/>
    <w:rsid w:val="4DEF772E"/>
    <w:rsid w:val="4E29C172"/>
    <w:rsid w:val="4E4C572A"/>
    <w:rsid w:val="4E8B4506"/>
    <w:rsid w:val="4EF1CBCA"/>
    <w:rsid w:val="4F65649F"/>
    <w:rsid w:val="501BB472"/>
    <w:rsid w:val="5022744B"/>
    <w:rsid w:val="5029643C"/>
    <w:rsid w:val="506E3FFE"/>
    <w:rsid w:val="5076DCE3"/>
    <w:rsid w:val="507BB592"/>
    <w:rsid w:val="50B909FA"/>
    <w:rsid w:val="50D625AD"/>
    <w:rsid w:val="51F0FF19"/>
    <w:rsid w:val="525B648B"/>
    <w:rsid w:val="5267BE0D"/>
    <w:rsid w:val="5270EA3F"/>
    <w:rsid w:val="52BC9FF2"/>
    <w:rsid w:val="52DF5EB4"/>
    <w:rsid w:val="52E768DA"/>
    <w:rsid w:val="534593C8"/>
    <w:rsid w:val="53840606"/>
    <w:rsid w:val="53AA45C4"/>
    <w:rsid w:val="54809000"/>
    <w:rsid w:val="549F302C"/>
    <w:rsid w:val="550ED9E4"/>
    <w:rsid w:val="5579327C"/>
    <w:rsid w:val="568F2359"/>
    <w:rsid w:val="572727E3"/>
    <w:rsid w:val="572AFDE4"/>
    <w:rsid w:val="589C84EB"/>
    <w:rsid w:val="58AF3EB4"/>
    <w:rsid w:val="58C2EE02"/>
    <w:rsid w:val="5A6A44FB"/>
    <w:rsid w:val="5B213FAC"/>
    <w:rsid w:val="5B4A7BE6"/>
    <w:rsid w:val="5B5C5BCF"/>
    <w:rsid w:val="5B799D25"/>
    <w:rsid w:val="5BC9F205"/>
    <w:rsid w:val="5D0890DB"/>
    <w:rsid w:val="5D19C9A9"/>
    <w:rsid w:val="5D331E05"/>
    <w:rsid w:val="5D59E21F"/>
    <w:rsid w:val="5D69F56C"/>
    <w:rsid w:val="5D7D01DD"/>
    <w:rsid w:val="5DD0DDA9"/>
    <w:rsid w:val="5E1EAAF4"/>
    <w:rsid w:val="5F313D55"/>
    <w:rsid w:val="5F9E3D04"/>
    <w:rsid w:val="6054D362"/>
    <w:rsid w:val="605D965C"/>
    <w:rsid w:val="60A860B3"/>
    <w:rsid w:val="60C2BD6A"/>
    <w:rsid w:val="612CF767"/>
    <w:rsid w:val="613E633E"/>
    <w:rsid w:val="6166DA55"/>
    <w:rsid w:val="61815A1F"/>
    <w:rsid w:val="61A95C74"/>
    <w:rsid w:val="628F8A8F"/>
    <w:rsid w:val="639B7181"/>
    <w:rsid w:val="64475EC7"/>
    <w:rsid w:val="647427D7"/>
    <w:rsid w:val="6558AEB9"/>
    <w:rsid w:val="65B10DDF"/>
    <w:rsid w:val="65B61707"/>
    <w:rsid w:val="66098B3B"/>
    <w:rsid w:val="66197F82"/>
    <w:rsid w:val="662244D0"/>
    <w:rsid w:val="664C9736"/>
    <w:rsid w:val="6676D08E"/>
    <w:rsid w:val="66DF6CE0"/>
    <w:rsid w:val="677A8DFD"/>
    <w:rsid w:val="67945110"/>
    <w:rsid w:val="6839DDF0"/>
    <w:rsid w:val="68516071"/>
    <w:rsid w:val="68B9DD8E"/>
    <w:rsid w:val="68DE2211"/>
    <w:rsid w:val="68F4B25F"/>
    <w:rsid w:val="693CF1A5"/>
    <w:rsid w:val="695907D3"/>
    <w:rsid w:val="6A50A060"/>
    <w:rsid w:val="6A5BCC1F"/>
    <w:rsid w:val="6A67E7CA"/>
    <w:rsid w:val="6AA9E5E4"/>
    <w:rsid w:val="6AEA7578"/>
    <w:rsid w:val="6C1145C0"/>
    <w:rsid w:val="6C1B8039"/>
    <w:rsid w:val="6C3AC0FA"/>
    <w:rsid w:val="6C4C788B"/>
    <w:rsid w:val="6C66A1F2"/>
    <w:rsid w:val="6C87ABCD"/>
    <w:rsid w:val="6CD49FDF"/>
    <w:rsid w:val="6D604DA7"/>
    <w:rsid w:val="6D8B222E"/>
    <w:rsid w:val="6DBD6C73"/>
    <w:rsid w:val="6E31DED9"/>
    <w:rsid w:val="6F47AF01"/>
    <w:rsid w:val="6F5E9719"/>
    <w:rsid w:val="6F9354A2"/>
    <w:rsid w:val="6FA5F177"/>
    <w:rsid w:val="6FDA1B0F"/>
    <w:rsid w:val="6FDD75F6"/>
    <w:rsid w:val="6FE07392"/>
    <w:rsid w:val="7016E2E9"/>
    <w:rsid w:val="702B74DF"/>
    <w:rsid w:val="705B6F9A"/>
    <w:rsid w:val="70B60FEA"/>
    <w:rsid w:val="70BB3462"/>
    <w:rsid w:val="70F85278"/>
    <w:rsid w:val="711EEF35"/>
    <w:rsid w:val="7159CD0A"/>
    <w:rsid w:val="71E842CA"/>
    <w:rsid w:val="725EC838"/>
    <w:rsid w:val="72C96E24"/>
    <w:rsid w:val="72D55282"/>
    <w:rsid w:val="73F73AF4"/>
    <w:rsid w:val="7439ABEC"/>
    <w:rsid w:val="745D2EC8"/>
    <w:rsid w:val="74A6BB8D"/>
    <w:rsid w:val="74D3215B"/>
    <w:rsid w:val="74E8423F"/>
    <w:rsid w:val="76AFCC6E"/>
    <w:rsid w:val="76CA5C4E"/>
    <w:rsid w:val="772961C8"/>
    <w:rsid w:val="7800E42F"/>
    <w:rsid w:val="781F1CA4"/>
    <w:rsid w:val="78E70CA0"/>
    <w:rsid w:val="792C9C02"/>
    <w:rsid w:val="79555A70"/>
    <w:rsid w:val="796683F5"/>
    <w:rsid w:val="799478BF"/>
    <w:rsid w:val="79DE64EC"/>
    <w:rsid w:val="7A08F3BF"/>
    <w:rsid w:val="7A160A1E"/>
    <w:rsid w:val="7A1CDB88"/>
    <w:rsid w:val="7A814D6E"/>
    <w:rsid w:val="7A90CBE3"/>
    <w:rsid w:val="7AC05164"/>
    <w:rsid w:val="7AD4A2DE"/>
    <w:rsid w:val="7AE91BEB"/>
    <w:rsid w:val="7B43FF08"/>
    <w:rsid w:val="7BC87650"/>
    <w:rsid w:val="7C8AF6E8"/>
    <w:rsid w:val="7CA34436"/>
    <w:rsid w:val="7D0A6DCB"/>
    <w:rsid w:val="7D2C3E56"/>
    <w:rsid w:val="7D943F27"/>
    <w:rsid w:val="7DCAFBEF"/>
    <w:rsid w:val="7E1D6A88"/>
    <w:rsid w:val="7F04845F"/>
    <w:rsid w:val="7F4A2717"/>
    <w:rsid w:val="7FEAB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BC40D"/>
  <w15:chartTrackingRefBased/>
  <w15:docId w15:val="{E3CF9836-2A44-43D0-96ED-2C0BC2738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E4"/>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FD25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link w:val="Heading2Char"/>
    <w:uiPriority w:val="9"/>
    <w:qFormat/>
    <w:rsid w:val="00C30303"/>
    <w:pPr>
      <w:spacing w:after="120" w:line="285" w:lineRule="auto"/>
      <w:outlineLvl w:val="1"/>
    </w:pPr>
    <w:rPr>
      <w:rFonts w:ascii="Century Gothic" w:eastAsia="Times New Roman" w:hAnsi="Century Gothic" w:cs="Times New Roman"/>
      <w:b/>
      <w:bCs/>
      <w:color w:val="349D96"/>
      <w:kern w:val="28"/>
      <w:sz w:val="36"/>
      <w:szCs w:val="36"/>
      <w14:ligatures w14:val="standard"/>
      <w14:cntxtAlts/>
    </w:rPr>
  </w:style>
  <w:style w:type="paragraph" w:styleId="Heading3">
    <w:name w:val="heading 3"/>
    <w:basedOn w:val="Normal"/>
    <w:next w:val="Normal"/>
    <w:link w:val="Heading3Char"/>
    <w:uiPriority w:val="9"/>
    <w:unhideWhenUsed/>
    <w:qFormat/>
    <w:rsid w:val="00D76F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3557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303"/>
    <w:rPr>
      <w:rFonts w:ascii="Century Gothic" w:eastAsia="Times New Roman" w:hAnsi="Century Gothic" w:cs="Times New Roman"/>
      <w:b/>
      <w:bCs/>
      <w:color w:val="000000"/>
      <w:kern w:val="28"/>
      <w:sz w:val="36"/>
      <w:szCs w:val="36"/>
      <w14:ligatures w14:val="standard"/>
      <w14:cntxtAlts/>
    </w:rPr>
  </w:style>
  <w:style w:type="paragraph" w:styleId="BodyText">
    <w:name w:val="Body Text"/>
    <w:link w:val="BodyTextChar"/>
    <w:uiPriority w:val="99"/>
    <w:unhideWhenUsed/>
    <w:rsid w:val="00C30303"/>
    <w:pPr>
      <w:spacing w:after="120" w:line="264" w:lineRule="auto"/>
    </w:pPr>
    <w:rPr>
      <w:rFonts w:ascii="Calibri" w:eastAsia="Times New Roman" w:hAnsi="Calibri" w:cs="Calibri"/>
      <w:color w:val="000000"/>
      <w:kern w:val="28"/>
      <w14:ligatures w14:val="standard"/>
      <w14:cntxtAlts/>
    </w:rPr>
  </w:style>
  <w:style w:type="character" w:customStyle="1" w:styleId="BodyTextChar">
    <w:name w:val="Body Text Char"/>
    <w:basedOn w:val="DefaultParagraphFont"/>
    <w:link w:val="BodyText"/>
    <w:uiPriority w:val="99"/>
    <w:rsid w:val="00C30303"/>
    <w:rPr>
      <w:rFonts w:ascii="Calibri" w:eastAsia="Times New Roman" w:hAnsi="Calibri" w:cs="Calibri"/>
      <w:color w:val="000000"/>
      <w:kern w:val="28"/>
      <w14:ligatures w14:val="standard"/>
      <w14:cntxtAlts/>
    </w:rPr>
  </w:style>
  <w:style w:type="table" w:styleId="TableGrid">
    <w:name w:val="Table Grid"/>
    <w:basedOn w:val="TableNormal"/>
    <w:uiPriority w:val="59"/>
    <w:rsid w:val="00AC4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5F3B"/>
    <w:rPr>
      <w:sz w:val="16"/>
      <w:szCs w:val="16"/>
    </w:rPr>
  </w:style>
  <w:style w:type="paragraph" w:styleId="CommentText">
    <w:name w:val="annotation text"/>
    <w:basedOn w:val="Normal"/>
    <w:link w:val="CommentTextChar"/>
    <w:uiPriority w:val="99"/>
    <w:unhideWhenUsed/>
    <w:rsid w:val="002A5F3B"/>
    <w:pPr>
      <w:spacing w:line="240" w:lineRule="auto"/>
    </w:pPr>
  </w:style>
  <w:style w:type="character" w:customStyle="1" w:styleId="CommentTextChar">
    <w:name w:val="Comment Text Char"/>
    <w:basedOn w:val="DefaultParagraphFont"/>
    <w:link w:val="CommentText"/>
    <w:uiPriority w:val="99"/>
    <w:rsid w:val="002A5F3B"/>
    <w:rPr>
      <w:rFonts w:ascii="Calibri" w:eastAsia="Times New Roman" w:hAnsi="Calibri" w:cs="Calibri"/>
      <w:color w:val="000000"/>
      <w:kern w:val="28"/>
      <w:sz w:val="20"/>
      <w:szCs w:val="20"/>
      <w14:ligatures w14:val="standard"/>
      <w14:cntxtAlts/>
    </w:rPr>
  </w:style>
  <w:style w:type="paragraph" w:styleId="CommentSubject">
    <w:name w:val="annotation subject"/>
    <w:basedOn w:val="CommentText"/>
    <w:next w:val="CommentText"/>
    <w:link w:val="CommentSubjectChar"/>
    <w:uiPriority w:val="99"/>
    <w:semiHidden/>
    <w:unhideWhenUsed/>
    <w:rsid w:val="002A5F3B"/>
    <w:rPr>
      <w:b/>
      <w:bCs/>
    </w:rPr>
  </w:style>
  <w:style w:type="character" w:customStyle="1" w:styleId="CommentSubjectChar">
    <w:name w:val="Comment Subject Char"/>
    <w:basedOn w:val="CommentTextChar"/>
    <w:link w:val="CommentSubject"/>
    <w:uiPriority w:val="99"/>
    <w:semiHidden/>
    <w:rsid w:val="002A5F3B"/>
    <w:rPr>
      <w:rFonts w:ascii="Calibri" w:eastAsia="Times New Roman" w:hAnsi="Calibri" w:cs="Calibri"/>
      <w:b/>
      <w:bCs/>
      <w:color w:val="000000"/>
      <w:kern w:val="28"/>
      <w:sz w:val="20"/>
      <w:szCs w:val="20"/>
      <w14:ligatures w14:val="standard"/>
      <w14:cntxtAlts/>
    </w:rPr>
  </w:style>
  <w:style w:type="paragraph" w:styleId="BalloonText">
    <w:name w:val="Balloon Text"/>
    <w:basedOn w:val="Normal"/>
    <w:link w:val="BalloonTextChar"/>
    <w:uiPriority w:val="99"/>
    <w:semiHidden/>
    <w:unhideWhenUsed/>
    <w:rsid w:val="002A5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F3B"/>
    <w:rPr>
      <w:rFonts w:ascii="Segoe UI" w:eastAsia="Times New Roman" w:hAnsi="Segoe UI" w:cs="Segoe UI"/>
      <w:color w:val="000000"/>
      <w:kern w:val="28"/>
      <w:sz w:val="18"/>
      <w:szCs w:val="18"/>
      <w14:ligatures w14:val="standard"/>
      <w14:cntxtAlts/>
    </w:rPr>
  </w:style>
  <w:style w:type="paragraph" w:styleId="ListParagraph">
    <w:name w:val="List Paragraph"/>
    <w:basedOn w:val="Normal"/>
    <w:uiPriority w:val="34"/>
    <w:qFormat/>
    <w:rsid w:val="00AA4DC9"/>
    <w:pPr>
      <w:spacing w:before="100" w:beforeAutospacing="1" w:after="100" w:afterAutospacing="1" w:line="240" w:lineRule="auto"/>
      <w:ind w:left="720"/>
      <w:contextualSpacing/>
    </w:pPr>
    <w:rPr>
      <w:rFonts w:asciiTheme="minorHAnsi" w:eastAsiaTheme="minorHAnsi" w:hAnsiTheme="minorHAnsi" w:cstheme="minorBidi"/>
      <w:color w:val="auto"/>
      <w:kern w:val="0"/>
      <w:sz w:val="22"/>
      <w:szCs w:val="22"/>
      <w14:ligatures w14:val="none"/>
      <w14:cntxtAlts w14:val="0"/>
    </w:rPr>
  </w:style>
  <w:style w:type="paragraph" w:styleId="FootnoteText">
    <w:name w:val="footnote text"/>
    <w:basedOn w:val="Normal"/>
    <w:link w:val="FootnoteTextChar"/>
    <w:uiPriority w:val="99"/>
    <w:semiHidden/>
    <w:unhideWhenUsed/>
    <w:rsid w:val="0067053B"/>
    <w:pPr>
      <w:spacing w:after="0" w:line="240" w:lineRule="auto"/>
    </w:pPr>
  </w:style>
  <w:style w:type="character" w:customStyle="1" w:styleId="FootnoteTextChar">
    <w:name w:val="Footnote Text Char"/>
    <w:basedOn w:val="DefaultParagraphFont"/>
    <w:link w:val="FootnoteText"/>
    <w:uiPriority w:val="99"/>
    <w:semiHidden/>
    <w:rsid w:val="0067053B"/>
    <w:rPr>
      <w:rFonts w:ascii="Calibri" w:eastAsia="Times New Roman" w:hAnsi="Calibri" w:cs="Calibri"/>
      <w:color w:val="000000"/>
      <w:kern w:val="28"/>
      <w:sz w:val="20"/>
      <w:szCs w:val="20"/>
      <w14:ligatures w14:val="standard"/>
      <w14:cntxtAlts/>
    </w:rPr>
  </w:style>
  <w:style w:type="character" w:styleId="FootnoteReference">
    <w:name w:val="footnote reference"/>
    <w:basedOn w:val="DefaultParagraphFont"/>
    <w:uiPriority w:val="99"/>
    <w:semiHidden/>
    <w:unhideWhenUsed/>
    <w:rsid w:val="0067053B"/>
    <w:rPr>
      <w:vertAlign w:val="superscript"/>
    </w:rPr>
  </w:style>
  <w:style w:type="character" w:customStyle="1" w:styleId="Heading3Char">
    <w:name w:val="Heading 3 Char"/>
    <w:basedOn w:val="DefaultParagraphFont"/>
    <w:link w:val="Heading3"/>
    <w:uiPriority w:val="9"/>
    <w:rsid w:val="00D76F3F"/>
    <w:rPr>
      <w:rFonts w:asciiTheme="majorHAnsi" w:eastAsiaTheme="majorEastAsia" w:hAnsiTheme="majorHAnsi" w:cstheme="majorBidi"/>
      <w:color w:val="1F4D78" w:themeColor="accent1" w:themeShade="7F"/>
      <w:kern w:val="28"/>
      <w:sz w:val="24"/>
      <w:szCs w:val="24"/>
      <w14:ligatures w14:val="standard"/>
      <w14:cntxtAlts/>
    </w:rPr>
  </w:style>
  <w:style w:type="paragraph" w:styleId="Header">
    <w:name w:val="header"/>
    <w:basedOn w:val="Normal"/>
    <w:link w:val="HeaderChar"/>
    <w:uiPriority w:val="99"/>
    <w:unhideWhenUsed/>
    <w:rsid w:val="00413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D86"/>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413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D86"/>
    <w:rPr>
      <w:rFonts w:ascii="Calibri" w:eastAsia="Times New Roman" w:hAnsi="Calibri" w:cs="Calibri"/>
      <w:color w:val="000000"/>
      <w:kern w:val="28"/>
      <w:sz w:val="20"/>
      <w:szCs w:val="20"/>
      <w14:ligatures w14:val="standard"/>
      <w14:cntxtAlts/>
    </w:rPr>
  </w:style>
  <w:style w:type="character" w:styleId="Hyperlink">
    <w:name w:val="Hyperlink"/>
    <w:basedOn w:val="DefaultParagraphFont"/>
    <w:uiPriority w:val="99"/>
    <w:unhideWhenUsed/>
    <w:rsid w:val="006265DA"/>
    <w:rPr>
      <w:color w:val="0563C1" w:themeColor="hyperlink"/>
      <w:u w:val="single"/>
    </w:rPr>
  </w:style>
  <w:style w:type="character" w:styleId="FollowedHyperlink">
    <w:name w:val="FollowedHyperlink"/>
    <w:basedOn w:val="DefaultParagraphFont"/>
    <w:uiPriority w:val="99"/>
    <w:semiHidden/>
    <w:unhideWhenUsed/>
    <w:rsid w:val="00DC6EE1"/>
    <w:rPr>
      <w:color w:val="954F72" w:themeColor="followedHyperlink"/>
      <w:u w:val="single"/>
    </w:rPr>
  </w:style>
  <w:style w:type="table" w:styleId="GridTable5Dark-Accent1">
    <w:name w:val="Grid Table 5 Dark Accent 1"/>
    <w:basedOn w:val="TableNormal"/>
    <w:uiPriority w:val="50"/>
    <w:rsid w:val="00E37A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1">
    <w:name w:val="Grid Table 4 Accent 1"/>
    <w:basedOn w:val="TableNormal"/>
    <w:uiPriority w:val="49"/>
    <w:rsid w:val="0088164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5">
    <w:name w:val="Grid Table 5 Dark Accent 5"/>
    <w:basedOn w:val="TableNormal"/>
    <w:uiPriority w:val="50"/>
    <w:rsid w:val="008816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ListTable3-Accent5">
    <w:name w:val="List Table 3 Accent 5"/>
    <w:basedOn w:val="TableNormal"/>
    <w:uiPriority w:val="48"/>
    <w:rsid w:val="0064343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styleId="NoSpacing">
    <w:name w:val="No Spacing"/>
    <w:uiPriority w:val="1"/>
    <w:qFormat/>
    <w:rsid w:val="00166381"/>
    <w:pPr>
      <w:spacing w:after="0" w:line="240" w:lineRule="auto"/>
    </w:pPr>
    <w:rPr>
      <w:rFonts w:ascii="Calibri" w:eastAsia="Times New Roman" w:hAnsi="Calibri" w:cs="Calibri"/>
      <w:color w:val="000000"/>
      <w:kern w:val="28"/>
      <w:sz w:val="20"/>
      <w:szCs w:val="20"/>
      <w14:ligatures w14:val="standard"/>
      <w14:cntxtAlts/>
    </w:rPr>
  </w:style>
  <w:style w:type="character" w:styleId="UnresolvedMention">
    <w:name w:val="Unresolved Mention"/>
    <w:basedOn w:val="DefaultParagraphFont"/>
    <w:uiPriority w:val="99"/>
    <w:semiHidden/>
    <w:unhideWhenUsed/>
    <w:rsid w:val="00755120"/>
    <w:rPr>
      <w:color w:val="605E5C"/>
      <w:shd w:val="clear" w:color="auto" w:fill="E1DFDD"/>
    </w:rPr>
  </w:style>
  <w:style w:type="table" w:styleId="GridTable2-Accent1">
    <w:name w:val="Grid Table 2 Accent 1"/>
    <w:basedOn w:val="TableNormal"/>
    <w:uiPriority w:val="47"/>
    <w:rsid w:val="002B01FD"/>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E2ED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4Char">
    <w:name w:val="Heading 4 Char"/>
    <w:basedOn w:val="DefaultParagraphFont"/>
    <w:link w:val="Heading4"/>
    <w:uiPriority w:val="9"/>
    <w:rsid w:val="00735571"/>
    <w:rPr>
      <w:rFonts w:asciiTheme="majorHAnsi" w:eastAsiaTheme="majorEastAsia" w:hAnsiTheme="majorHAnsi" w:cstheme="majorBidi"/>
      <w:i/>
      <w:iCs/>
      <w:color w:val="2E74B5" w:themeColor="accent1" w:themeShade="BF"/>
      <w:kern w:val="28"/>
      <w:sz w:val="20"/>
      <w:szCs w:val="20"/>
      <w14:ligatures w14:val="standard"/>
      <w14:cntxtAlts/>
    </w:rPr>
  </w:style>
  <w:style w:type="character" w:customStyle="1" w:styleId="Heading1Char">
    <w:name w:val="Heading 1 Char"/>
    <w:basedOn w:val="DefaultParagraphFont"/>
    <w:link w:val="Heading1"/>
    <w:uiPriority w:val="9"/>
    <w:rsid w:val="00FD257A"/>
    <w:rPr>
      <w:rFonts w:asciiTheme="majorHAnsi" w:eastAsiaTheme="majorEastAsia" w:hAnsiTheme="majorHAnsi" w:cstheme="majorBidi"/>
      <w:color w:val="2E74B5" w:themeColor="accent1" w:themeShade="BF"/>
      <w:kern w:val="28"/>
      <w:sz w:val="32"/>
      <w:szCs w:val="32"/>
      <w14:ligatures w14:val="standard"/>
      <w14:cntxtAlts/>
    </w:rPr>
  </w:style>
  <w:style w:type="paragraph" w:styleId="TOCHeading">
    <w:name w:val="TOC Heading"/>
    <w:basedOn w:val="Heading1"/>
    <w:next w:val="Normal"/>
    <w:uiPriority w:val="39"/>
    <w:unhideWhenUsed/>
    <w:qFormat/>
    <w:rsid w:val="00FD257A"/>
    <w:pPr>
      <w:spacing w:line="259" w:lineRule="auto"/>
      <w:outlineLvl w:val="9"/>
    </w:pPr>
    <w:rPr>
      <w:kern w:val="0"/>
      <w14:ligatures w14:val="none"/>
      <w14:cntxtAlts w14:val="0"/>
    </w:rPr>
  </w:style>
  <w:style w:type="paragraph" w:styleId="TOC2">
    <w:name w:val="toc 2"/>
    <w:basedOn w:val="Normal"/>
    <w:next w:val="Normal"/>
    <w:autoRedefine/>
    <w:uiPriority w:val="39"/>
    <w:unhideWhenUsed/>
    <w:rsid w:val="00FD257A"/>
    <w:pPr>
      <w:spacing w:after="100"/>
      <w:ind w:left="200"/>
    </w:pPr>
  </w:style>
  <w:style w:type="paragraph" w:styleId="TOC1">
    <w:name w:val="toc 1"/>
    <w:basedOn w:val="Normal"/>
    <w:next w:val="Normal"/>
    <w:autoRedefine/>
    <w:uiPriority w:val="39"/>
    <w:unhideWhenUsed/>
    <w:rsid w:val="00FD257A"/>
    <w:pPr>
      <w:spacing w:after="100"/>
    </w:pPr>
  </w:style>
  <w:style w:type="paragraph" w:styleId="TOC3">
    <w:name w:val="toc 3"/>
    <w:basedOn w:val="Normal"/>
    <w:next w:val="Normal"/>
    <w:autoRedefine/>
    <w:uiPriority w:val="39"/>
    <w:unhideWhenUsed/>
    <w:rsid w:val="00092C86"/>
    <w:pPr>
      <w:spacing w:after="100" w:line="259" w:lineRule="auto"/>
      <w:ind w:left="440"/>
    </w:pPr>
    <w:rPr>
      <w:rFonts w:asciiTheme="minorHAnsi" w:eastAsiaTheme="minorEastAsia" w:hAnsiTheme="minorHAnsi" w:cs="Times New Roman"/>
      <w:color w:val="auto"/>
      <w:kern w:val="0"/>
      <w:sz w:val="22"/>
      <w:szCs w:val="22"/>
      <w14:ligatures w14:val="none"/>
      <w14:cntxtAlts w14:val="0"/>
    </w:rPr>
  </w:style>
  <w:style w:type="paragraph" w:styleId="TOC4">
    <w:name w:val="toc 4"/>
    <w:basedOn w:val="Normal"/>
    <w:next w:val="Normal"/>
    <w:autoRedefine/>
    <w:uiPriority w:val="39"/>
    <w:unhideWhenUsed/>
    <w:rsid w:val="0082197B"/>
    <w:pPr>
      <w:spacing w:after="100" w:line="278" w:lineRule="auto"/>
      <w:ind w:left="720"/>
    </w:pPr>
    <w:rPr>
      <w:rFonts w:asciiTheme="minorHAnsi" w:eastAsiaTheme="minorEastAsia" w:hAnsiTheme="minorHAnsi" w:cstheme="minorBidi"/>
      <w:color w:val="auto"/>
      <w:kern w:val="2"/>
      <w:sz w:val="24"/>
      <w:szCs w:val="24"/>
      <w14:ligatures w14:val="standardContextual"/>
      <w14:cntxtAlts w14:val="0"/>
    </w:rPr>
  </w:style>
  <w:style w:type="paragraph" w:styleId="TOC5">
    <w:name w:val="toc 5"/>
    <w:basedOn w:val="Normal"/>
    <w:next w:val="Normal"/>
    <w:autoRedefine/>
    <w:uiPriority w:val="39"/>
    <w:unhideWhenUsed/>
    <w:rsid w:val="0082197B"/>
    <w:pPr>
      <w:spacing w:after="100" w:line="278" w:lineRule="auto"/>
      <w:ind w:left="960"/>
    </w:pPr>
    <w:rPr>
      <w:rFonts w:asciiTheme="minorHAnsi" w:eastAsiaTheme="minorEastAsia" w:hAnsiTheme="minorHAnsi" w:cstheme="minorBidi"/>
      <w:color w:val="auto"/>
      <w:kern w:val="2"/>
      <w:sz w:val="24"/>
      <w:szCs w:val="24"/>
      <w14:ligatures w14:val="standardContextual"/>
      <w14:cntxtAlts w14:val="0"/>
    </w:rPr>
  </w:style>
  <w:style w:type="paragraph" w:styleId="TOC6">
    <w:name w:val="toc 6"/>
    <w:basedOn w:val="Normal"/>
    <w:next w:val="Normal"/>
    <w:autoRedefine/>
    <w:uiPriority w:val="39"/>
    <w:unhideWhenUsed/>
    <w:rsid w:val="0082197B"/>
    <w:pPr>
      <w:spacing w:after="100" w:line="278" w:lineRule="auto"/>
      <w:ind w:left="1200"/>
    </w:pPr>
    <w:rPr>
      <w:rFonts w:asciiTheme="minorHAnsi" w:eastAsiaTheme="minorEastAsia" w:hAnsiTheme="minorHAnsi" w:cstheme="minorBidi"/>
      <w:color w:val="auto"/>
      <w:kern w:val="2"/>
      <w:sz w:val="24"/>
      <w:szCs w:val="24"/>
      <w14:ligatures w14:val="standardContextual"/>
      <w14:cntxtAlts w14:val="0"/>
    </w:rPr>
  </w:style>
  <w:style w:type="paragraph" w:styleId="TOC7">
    <w:name w:val="toc 7"/>
    <w:basedOn w:val="Normal"/>
    <w:next w:val="Normal"/>
    <w:autoRedefine/>
    <w:uiPriority w:val="39"/>
    <w:unhideWhenUsed/>
    <w:rsid w:val="0082197B"/>
    <w:pPr>
      <w:spacing w:after="100" w:line="278" w:lineRule="auto"/>
      <w:ind w:left="1440"/>
    </w:pPr>
    <w:rPr>
      <w:rFonts w:asciiTheme="minorHAnsi" w:eastAsiaTheme="minorEastAsia" w:hAnsiTheme="minorHAnsi" w:cstheme="minorBidi"/>
      <w:color w:val="auto"/>
      <w:kern w:val="2"/>
      <w:sz w:val="24"/>
      <w:szCs w:val="24"/>
      <w14:ligatures w14:val="standardContextual"/>
      <w14:cntxtAlts w14:val="0"/>
    </w:rPr>
  </w:style>
  <w:style w:type="paragraph" w:styleId="TOC8">
    <w:name w:val="toc 8"/>
    <w:basedOn w:val="Normal"/>
    <w:next w:val="Normal"/>
    <w:autoRedefine/>
    <w:uiPriority w:val="39"/>
    <w:unhideWhenUsed/>
    <w:rsid w:val="0082197B"/>
    <w:pPr>
      <w:spacing w:after="100" w:line="278" w:lineRule="auto"/>
      <w:ind w:left="1680"/>
    </w:pPr>
    <w:rPr>
      <w:rFonts w:asciiTheme="minorHAnsi" w:eastAsiaTheme="minorEastAsia" w:hAnsiTheme="minorHAnsi" w:cstheme="minorBidi"/>
      <w:color w:val="auto"/>
      <w:kern w:val="2"/>
      <w:sz w:val="24"/>
      <w:szCs w:val="24"/>
      <w14:ligatures w14:val="standardContextual"/>
      <w14:cntxtAlts w14:val="0"/>
    </w:rPr>
  </w:style>
  <w:style w:type="paragraph" w:styleId="TOC9">
    <w:name w:val="toc 9"/>
    <w:basedOn w:val="Normal"/>
    <w:next w:val="Normal"/>
    <w:autoRedefine/>
    <w:uiPriority w:val="39"/>
    <w:unhideWhenUsed/>
    <w:rsid w:val="0082197B"/>
    <w:pPr>
      <w:spacing w:after="100" w:line="278" w:lineRule="auto"/>
      <w:ind w:left="1920"/>
    </w:pPr>
    <w:rPr>
      <w:rFonts w:asciiTheme="minorHAnsi" w:eastAsiaTheme="minorEastAsia" w:hAnsiTheme="minorHAnsi" w:cstheme="minorBidi"/>
      <w:color w:val="auto"/>
      <w:kern w:val="2"/>
      <w:sz w:val="24"/>
      <w:szCs w:val="24"/>
      <w14:ligatures w14:val="standardContextual"/>
      <w14:cntxtAlts w14:val="0"/>
    </w:rPr>
  </w:style>
  <w:style w:type="paragraph" w:styleId="Revision">
    <w:name w:val="Revision"/>
    <w:hidden/>
    <w:uiPriority w:val="99"/>
    <w:semiHidden/>
    <w:rsid w:val="001827B6"/>
    <w:pPr>
      <w:spacing w:after="0" w:line="240" w:lineRule="auto"/>
    </w:pPr>
    <w:rPr>
      <w:rFonts w:ascii="Calibri" w:eastAsia="Times New Roman" w:hAnsi="Calibri" w:cs="Calibri"/>
      <w:color w:val="000000"/>
      <w:kern w:val="28"/>
      <w:sz w:val="20"/>
      <w:szCs w:val="20"/>
      <w14:ligatures w14:val="standard"/>
      <w14:cntxtAlts/>
    </w:rPr>
  </w:style>
  <w:style w:type="character" w:styleId="Mention">
    <w:name w:val="Mention"/>
    <w:basedOn w:val="DefaultParagraphFont"/>
    <w:uiPriority w:val="99"/>
    <w:unhideWhenUsed/>
    <w:rsid w:val="008F08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79540">
      <w:bodyDiv w:val="1"/>
      <w:marLeft w:val="0"/>
      <w:marRight w:val="0"/>
      <w:marTop w:val="0"/>
      <w:marBottom w:val="0"/>
      <w:divBdr>
        <w:top w:val="none" w:sz="0" w:space="0" w:color="auto"/>
        <w:left w:val="none" w:sz="0" w:space="0" w:color="auto"/>
        <w:bottom w:val="none" w:sz="0" w:space="0" w:color="auto"/>
        <w:right w:val="none" w:sz="0" w:space="0" w:color="auto"/>
      </w:divBdr>
    </w:div>
    <w:div w:id="241641680">
      <w:bodyDiv w:val="1"/>
      <w:marLeft w:val="0"/>
      <w:marRight w:val="0"/>
      <w:marTop w:val="0"/>
      <w:marBottom w:val="0"/>
      <w:divBdr>
        <w:top w:val="none" w:sz="0" w:space="0" w:color="auto"/>
        <w:left w:val="none" w:sz="0" w:space="0" w:color="auto"/>
        <w:bottom w:val="none" w:sz="0" w:space="0" w:color="auto"/>
        <w:right w:val="none" w:sz="0" w:space="0" w:color="auto"/>
      </w:divBdr>
    </w:div>
    <w:div w:id="260531091">
      <w:bodyDiv w:val="1"/>
      <w:marLeft w:val="0"/>
      <w:marRight w:val="0"/>
      <w:marTop w:val="0"/>
      <w:marBottom w:val="0"/>
      <w:divBdr>
        <w:top w:val="none" w:sz="0" w:space="0" w:color="auto"/>
        <w:left w:val="none" w:sz="0" w:space="0" w:color="auto"/>
        <w:bottom w:val="none" w:sz="0" w:space="0" w:color="auto"/>
        <w:right w:val="none" w:sz="0" w:space="0" w:color="auto"/>
      </w:divBdr>
    </w:div>
    <w:div w:id="426854379">
      <w:bodyDiv w:val="1"/>
      <w:marLeft w:val="0"/>
      <w:marRight w:val="0"/>
      <w:marTop w:val="0"/>
      <w:marBottom w:val="0"/>
      <w:divBdr>
        <w:top w:val="none" w:sz="0" w:space="0" w:color="auto"/>
        <w:left w:val="none" w:sz="0" w:space="0" w:color="auto"/>
        <w:bottom w:val="none" w:sz="0" w:space="0" w:color="auto"/>
        <w:right w:val="none" w:sz="0" w:space="0" w:color="auto"/>
      </w:divBdr>
    </w:div>
    <w:div w:id="512570068">
      <w:bodyDiv w:val="1"/>
      <w:marLeft w:val="0"/>
      <w:marRight w:val="0"/>
      <w:marTop w:val="0"/>
      <w:marBottom w:val="0"/>
      <w:divBdr>
        <w:top w:val="none" w:sz="0" w:space="0" w:color="auto"/>
        <w:left w:val="none" w:sz="0" w:space="0" w:color="auto"/>
        <w:bottom w:val="none" w:sz="0" w:space="0" w:color="auto"/>
        <w:right w:val="none" w:sz="0" w:space="0" w:color="auto"/>
      </w:divBdr>
    </w:div>
    <w:div w:id="525487165">
      <w:bodyDiv w:val="1"/>
      <w:marLeft w:val="0"/>
      <w:marRight w:val="0"/>
      <w:marTop w:val="0"/>
      <w:marBottom w:val="0"/>
      <w:divBdr>
        <w:top w:val="none" w:sz="0" w:space="0" w:color="auto"/>
        <w:left w:val="none" w:sz="0" w:space="0" w:color="auto"/>
        <w:bottom w:val="none" w:sz="0" w:space="0" w:color="auto"/>
        <w:right w:val="none" w:sz="0" w:space="0" w:color="auto"/>
      </w:divBdr>
    </w:div>
    <w:div w:id="706641448">
      <w:bodyDiv w:val="1"/>
      <w:marLeft w:val="0"/>
      <w:marRight w:val="0"/>
      <w:marTop w:val="0"/>
      <w:marBottom w:val="0"/>
      <w:divBdr>
        <w:top w:val="none" w:sz="0" w:space="0" w:color="auto"/>
        <w:left w:val="none" w:sz="0" w:space="0" w:color="auto"/>
        <w:bottom w:val="none" w:sz="0" w:space="0" w:color="auto"/>
        <w:right w:val="none" w:sz="0" w:space="0" w:color="auto"/>
      </w:divBdr>
    </w:div>
    <w:div w:id="864950762">
      <w:bodyDiv w:val="1"/>
      <w:marLeft w:val="0"/>
      <w:marRight w:val="0"/>
      <w:marTop w:val="0"/>
      <w:marBottom w:val="0"/>
      <w:divBdr>
        <w:top w:val="none" w:sz="0" w:space="0" w:color="auto"/>
        <w:left w:val="none" w:sz="0" w:space="0" w:color="auto"/>
        <w:bottom w:val="none" w:sz="0" w:space="0" w:color="auto"/>
        <w:right w:val="none" w:sz="0" w:space="0" w:color="auto"/>
      </w:divBdr>
    </w:div>
    <w:div w:id="997999006">
      <w:bodyDiv w:val="1"/>
      <w:marLeft w:val="0"/>
      <w:marRight w:val="0"/>
      <w:marTop w:val="0"/>
      <w:marBottom w:val="0"/>
      <w:divBdr>
        <w:top w:val="none" w:sz="0" w:space="0" w:color="auto"/>
        <w:left w:val="none" w:sz="0" w:space="0" w:color="auto"/>
        <w:bottom w:val="none" w:sz="0" w:space="0" w:color="auto"/>
        <w:right w:val="none" w:sz="0" w:space="0" w:color="auto"/>
      </w:divBdr>
    </w:div>
    <w:div w:id="999237373">
      <w:bodyDiv w:val="1"/>
      <w:marLeft w:val="0"/>
      <w:marRight w:val="0"/>
      <w:marTop w:val="0"/>
      <w:marBottom w:val="0"/>
      <w:divBdr>
        <w:top w:val="none" w:sz="0" w:space="0" w:color="auto"/>
        <w:left w:val="none" w:sz="0" w:space="0" w:color="auto"/>
        <w:bottom w:val="none" w:sz="0" w:space="0" w:color="auto"/>
        <w:right w:val="none" w:sz="0" w:space="0" w:color="auto"/>
      </w:divBdr>
    </w:div>
    <w:div w:id="1046416010">
      <w:bodyDiv w:val="1"/>
      <w:marLeft w:val="0"/>
      <w:marRight w:val="0"/>
      <w:marTop w:val="0"/>
      <w:marBottom w:val="0"/>
      <w:divBdr>
        <w:top w:val="none" w:sz="0" w:space="0" w:color="auto"/>
        <w:left w:val="none" w:sz="0" w:space="0" w:color="auto"/>
        <w:bottom w:val="none" w:sz="0" w:space="0" w:color="auto"/>
        <w:right w:val="none" w:sz="0" w:space="0" w:color="auto"/>
      </w:divBdr>
    </w:div>
    <w:div w:id="1074277599">
      <w:bodyDiv w:val="1"/>
      <w:marLeft w:val="0"/>
      <w:marRight w:val="0"/>
      <w:marTop w:val="0"/>
      <w:marBottom w:val="0"/>
      <w:divBdr>
        <w:top w:val="none" w:sz="0" w:space="0" w:color="auto"/>
        <w:left w:val="none" w:sz="0" w:space="0" w:color="auto"/>
        <w:bottom w:val="none" w:sz="0" w:space="0" w:color="auto"/>
        <w:right w:val="none" w:sz="0" w:space="0" w:color="auto"/>
      </w:divBdr>
    </w:div>
    <w:div w:id="1110198673">
      <w:bodyDiv w:val="1"/>
      <w:marLeft w:val="0"/>
      <w:marRight w:val="0"/>
      <w:marTop w:val="0"/>
      <w:marBottom w:val="0"/>
      <w:divBdr>
        <w:top w:val="none" w:sz="0" w:space="0" w:color="auto"/>
        <w:left w:val="none" w:sz="0" w:space="0" w:color="auto"/>
        <w:bottom w:val="none" w:sz="0" w:space="0" w:color="auto"/>
        <w:right w:val="none" w:sz="0" w:space="0" w:color="auto"/>
      </w:divBdr>
    </w:div>
    <w:div w:id="1207840307">
      <w:bodyDiv w:val="1"/>
      <w:marLeft w:val="0"/>
      <w:marRight w:val="0"/>
      <w:marTop w:val="0"/>
      <w:marBottom w:val="0"/>
      <w:divBdr>
        <w:top w:val="none" w:sz="0" w:space="0" w:color="auto"/>
        <w:left w:val="none" w:sz="0" w:space="0" w:color="auto"/>
        <w:bottom w:val="none" w:sz="0" w:space="0" w:color="auto"/>
        <w:right w:val="none" w:sz="0" w:space="0" w:color="auto"/>
      </w:divBdr>
    </w:div>
    <w:div w:id="1241673016">
      <w:bodyDiv w:val="1"/>
      <w:marLeft w:val="0"/>
      <w:marRight w:val="0"/>
      <w:marTop w:val="0"/>
      <w:marBottom w:val="0"/>
      <w:divBdr>
        <w:top w:val="none" w:sz="0" w:space="0" w:color="auto"/>
        <w:left w:val="none" w:sz="0" w:space="0" w:color="auto"/>
        <w:bottom w:val="none" w:sz="0" w:space="0" w:color="auto"/>
        <w:right w:val="none" w:sz="0" w:space="0" w:color="auto"/>
      </w:divBdr>
    </w:div>
    <w:div w:id="1308828047">
      <w:bodyDiv w:val="1"/>
      <w:marLeft w:val="0"/>
      <w:marRight w:val="0"/>
      <w:marTop w:val="0"/>
      <w:marBottom w:val="0"/>
      <w:divBdr>
        <w:top w:val="none" w:sz="0" w:space="0" w:color="auto"/>
        <w:left w:val="none" w:sz="0" w:space="0" w:color="auto"/>
        <w:bottom w:val="none" w:sz="0" w:space="0" w:color="auto"/>
        <w:right w:val="none" w:sz="0" w:space="0" w:color="auto"/>
      </w:divBdr>
    </w:div>
    <w:div w:id="1374504763">
      <w:bodyDiv w:val="1"/>
      <w:marLeft w:val="0"/>
      <w:marRight w:val="0"/>
      <w:marTop w:val="0"/>
      <w:marBottom w:val="0"/>
      <w:divBdr>
        <w:top w:val="none" w:sz="0" w:space="0" w:color="auto"/>
        <w:left w:val="none" w:sz="0" w:space="0" w:color="auto"/>
        <w:bottom w:val="none" w:sz="0" w:space="0" w:color="auto"/>
        <w:right w:val="none" w:sz="0" w:space="0" w:color="auto"/>
      </w:divBdr>
    </w:div>
    <w:div w:id="1434977619">
      <w:bodyDiv w:val="1"/>
      <w:marLeft w:val="0"/>
      <w:marRight w:val="0"/>
      <w:marTop w:val="0"/>
      <w:marBottom w:val="0"/>
      <w:divBdr>
        <w:top w:val="none" w:sz="0" w:space="0" w:color="auto"/>
        <w:left w:val="none" w:sz="0" w:space="0" w:color="auto"/>
        <w:bottom w:val="none" w:sz="0" w:space="0" w:color="auto"/>
        <w:right w:val="none" w:sz="0" w:space="0" w:color="auto"/>
      </w:divBdr>
    </w:div>
    <w:div w:id="1504315470">
      <w:bodyDiv w:val="1"/>
      <w:marLeft w:val="0"/>
      <w:marRight w:val="0"/>
      <w:marTop w:val="0"/>
      <w:marBottom w:val="0"/>
      <w:divBdr>
        <w:top w:val="none" w:sz="0" w:space="0" w:color="auto"/>
        <w:left w:val="none" w:sz="0" w:space="0" w:color="auto"/>
        <w:bottom w:val="none" w:sz="0" w:space="0" w:color="auto"/>
        <w:right w:val="none" w:sz="0" w:space="0" w:color="auto"/>
      </w:divBdr>
    </w:div>
    <w:div w:id="1641569115">
      <w:bodyDiv w:val="1"/>
      <w:marLeft w:val="0"/>
      <w:marRight w:val="0"/>
      <w:marTop w:val="0"/>
      <w:marBottom w:val="0"/>
      <w:divBdr>
        <w:top w:val="none" w:sz="0" w:space="0" w:color="auto"/>
        <w:left w:val="none" w:sz="0" w:space="0" w:color="auto"/>
        <w:bottom w:val="none" w:sz="0" w:space="0" w:color="auto"/>
        <w:right w:val="none" w:sz="0" w:space="0" w:color="auto"/>
      </w:divBdr>
    </w:div>
    <w:div w:id="1672952205">
      <w:bodyDiv w:val="1"/>
      <w:marLeft w:val="0"/>
      <w:marRight w:val="0"/>
      <w:marTop w:val="0"/>
      <w:marBottom w:val="0"/>
      <w:divBdr>
        <w:top w:val="none" w:sz="0" w:space="0" w:color="auto"/>
        <w:left w:val="none" w:sz="0" w:space="0" w:color="auto"/>
        <w:bottom w:val="none" w:sz="0" w:space="0" w:color="auto"/>
        <w:right w:val="none" w:sz="0" w:space="0" w:color="auto"/>
      </w:divBdr>
    </w:div>
    <w:div w:id="1838376041">
      <w:bodyDiv w:val="1"/>
      <w:marLeft w:val="0"/>
      <w:marRight w:val="0"/>
      <w:marTop w:val="0"/>
      <w:marBottom w:val="0"/>
      <w:divBdr>
        <w:top w:val="none" w:sz="0" w:space="0" w:color="auto"/>
        <w:left w:val="none" w:sz="0" w:space="0" w:color="auto"/>
        <w:bottom w:val="none" w:sz="0" w:space="0" w:color="auto"/>
        <w:right w:val="none" w:sz="0" w:space="0" w:color="auto"/>
      </w:divBdr>
    </w:div>
    <w:div w:id="20012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43.70.250"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fontTable" Target="fontTable.xml"/><Relationship Id="rId21" Type="http://schemas.openxmlformats.org/officeDocument/2006/relationships/hyperlink" Target="https://app.leg.wa.gov/RCW/default.aspx?cite=70A.120&amp;full=true" TargetMode="External"/><Relationship Id="rId34"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yperlink" Target="https://app.leg.wa.gov/RCW/default.aspx?cite=70A.120&amp;full=true"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hyperlink" Target="https://app.leg.wa.gov/WAc/default.aspx?cite=246-294-070"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pp.leg.wa.gov/WAC/default.aspx?cite=246-290-990" TargetMode="External"/><Relationship Id="rId20" Type="http://schemas.openxmlformats.org/officeDocument/2006/relationships/hyperlink" Target="https://app.leg.wa.gov/RCW/default.aspx?cite=70A.125&amp;full=true" TargetMode="External"/><Relationship Id="rId29" Type="http://schemas.openxmlformats.org/officeDocument/2006/relationships/hyperlink" Target="https://app.leg.wa.gov/RCW/default.aspx?cite=70A.120&amp;full=tru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eg.wa.gov/RCW/default.aspx?cite=70A.125&amp;full=true" TargetMode="External"/><Relationship Id="rId24" Type="http://schemas.openxmlformats.org/officeDocument/2006/relationships/hyperlink" Target="https://app.leg.wa.gov/waC/default.aspx?cite=246-292-995" TargetMode="External"/><Relationship Id="rId32" Type="http://schemas.openxmlformats.org/officeDocument/2006/relationships/hyperlink" Target="https://app.leg.wa.gov/rcw/default.aspx?cite=70A.125.10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leg.wa.gov/WAC/default.aspx?cite=246-290-990" TargetMode="External"/><Relationship Id="rId23" Type="http://schemas.openxmlformats.org/officeDocument/2006/relationships/hyperlink" Target="https://app.leg.wa.gov/RCW/default.aspx?cite=43.20B.020" TargetMode="External"/><Relationship Id="rId28" Type="http://schemas.openxmlformats.org/officeDocument/2006/relationships/hyperlink" Target="https://app.leg.wa.gov/RCW/default.aspx?cite=70A.125&amp;full=true"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app.leg.wa.gov/RCW/default.aspx?cite=43.20B.0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leg.wa.gov/RCW/default.aspx?cite=43.20B.020" TargetMode="External"/><Relationship Id="rId22" Type="http://schemas.openxmlformats.org/officeDocument/2006/relationships/hyperlink" Target="https://app.leg.wa.gov/RCW/default.aspx?cite=43.70.250" TargetMode="External"/><Relationship Id="rId27" Type="http://schemas.openxmlformats.org/officeDocument/2006/relationships/image" Target="media/image6.png"/><Relationship Id="rId30" Type="http://schemas.openxmlformats.org/officeDocument/2006/relationships/hyperlink" Target="https://app.leg.wa.gov/RCW/default.aspx?cite=43.70.250" TargetMode="External"/><Relationship Id="rId35" Type="http://schemas.openxmlformats.org/officeDocument/2006/relationships/image" Target="media/image8.pn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9481a70-35b0-4b8b-a7ee-b612235177f8">
      <Terms xmlns="http://schemas.microsoft.com/office/infopath/2007/PartnerControls"/>
    </lcf76f155ced4ddcb4097134ff3c332f>
    <TaxCatchAll xmlns="a3bc4ead-81a3-429b-b226-64c90ab482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AA60FE9E72A0B46B2C2F3CF131C5189" ma:contentTypeVersion="16" ma:contentTypeDescription="Create a new document." ma:contentTypeScope="" ma:versionID="7dbb0df0f1324079d78bac50efb952d6">
  <xsd:schema xmlns:xsd="http://www.w3.org/2001/XMLSchema" xmlns:xs="http://www.w3.org/2001/XMLSchema" xmlns:p="http://schemas.microsoft.com/office/2006/metadata/properties" xmlns:ns1="http://schemas.microsoft.com/sharepoint/v3" xmlns:ns2="19481a70-35b0-4b8b-a7ee-b612235177f8" xmlns:ns3="a3bc4ead-81a3-429b-b226-64c90ab4827f" targetNamespace="http://schemas.microsoft.com/office/2006/metadata/properties" ma:root="true" ma:fieldsID="4b05769fd710c423381e4c40fb6eab90" ns1:_="" ns2:_="" ns3:_="">
    <xsd:import namespace="http://schemas.microsoft.com/sharepoint/v3"/>
    <xsd:import namespace="19481a70-35b0-4b8b-a7ee-b612235177f8"/>
    <xsd:import namespace="a3bc4ead-81a3-429b-b226-64c90ab4827f"/>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81a70-35b0-4b8b-a7ee-b61223517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bc4ead-81a3-429b-b226-64c90ab482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91fba4-8a6d-4091-9126-48be3248adc1}" ma:internalName="TaxCatchAll" ma:showField="CatchAllData" ma:web="a3bc4ead-81a3-429b-b226-64c90ab482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3115B-0CB6-4C18-9813-F1B7D926BA26}">
  <ds:schemaRefs>
    <ds:schemaRef ds:uri="http://schemas.microsoft.com/sharepoint/v3/contenttype/forms"/>
  </ds:schemaRefs>
</ds:datastoreItem>
</file>

<file path=customXml/itemProps2.xml><?xml version="1.0" encoding="utf-8"?>
<ds:datastoreItem xmlns:ds="http://schemas.openxmlformats.org/officeDocument/2006/customXml" ds:itemID="{D7037702-659A-4E3A-9805-2B9A6E573BF2}">
  <ds:schemaRefs>
    <ds:schemaRef ds:uri="http://www.w3.org/XML/1998/namespace"/>
    <ds:schemaRef ds:uri="http://schemas.microsoft.com/office/infopath/2007/PartnerControls"/>
    <ds:schemaRef ds:uri="http://schemas.microsoft.com/office/2006/metadata/properties"/>
    <ds:schemaRef ds:uri="http://purl.org/dc/terms/"/>
    <ds:schemaRef ds:uri="http://schemas.microsoft.com/sharepoint/v3"/>
    <ds:schemaRef ds:uri="19481a70-35b0-4b8b-a7ee-b612235177f8"/>
    <ds:schemaRef ds:uri="http://purl.org/dc/elements/1.1/"/>
    <ds:schemaRef ds:uri="http://schemas.microsoft.com/office/2006/documentManagement/types"/>
    <ds:schemaRef ds:uri="http://schemas.openxmlformats.org/package/2006/metadata/core-properties"/>
    <ds:schemaRef ds:uri="a3bc4ead-81a3-429b-b226-64c90ab4827f"/>
    <ds:schemaRef ds:uri="http://purl.org/dc/dcmitype/"/>
  </ds:schemaRefs>
</ds:datastoreItem>
</file>

<file path=customXml/itemProps3.xml><?xml version="1.0" encoding="utf-8"?>
<ds:datastoreItem xmlns:ds="http://schemas.openxmlformats.org/officeDocument/2006/customXml" ds:itemID="{3E35E5EF-869F-4495-8B9C-49597E5DDAD5}">
  <ds:schemaRefs>
    <ds:schemaRef ds:uri="http://schemas.openxmlformats.org/officeDocument/2006/bibliography"/>
  </ds:schemaRefs>
</ds:datastoreItem>
</file>

<file path=customXml/itemProps4.xml><?xml version="1.0" encoding="utf-8"?>
<ds:datastoreItem xmlns:ds="http://schemas.openxmlformats.org/officeDocument/2006/customXml" ds:itemID="{27AB35D5-B1C3-4194-AF28-6A824A48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81a70-35b0-4b8b-a7ee-b612235177f8"/>
    <ds:schemaRef ds:uri="a3bc4ead-81a3-429b-b226-64c90ab48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520fa42-cf58-4c22-8b93-58cf1d3bd1cb}" enabled="1" method="Standard" siteId="{11d0e217-264e-400a-8ba0-57dcc127d72d}" removed="0"/>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3611</Words>
  <Characters>20584</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ODW Rulemaking - Fees Economic Impact Analysis Report</vt:lpstr>
    </vt:vector>
  </TitlesOfParts>
  <Company>Washington State Department of Health</Company>
  <LinksUpToDate>false</LinksUpToDate>
  <CharactersWithSpaces>24147</CharactersWithSpaces>
  <SharedDoc>false</SharedDoc>
  <HLinks>
    <vt:vector size="168" baseType="variant">
      <vt:variant>
        <vt:i4>4390992</vt:i4>
      </vt:variant>
      <vt:variant>
        <vt:i4>69</vt:i4>
      </vt:variant>
      <vt:variant>
        <vt:i4>0</vt:i4>
      </vt:variant>
      <vt:variant>
        <vt:i4>5</vt:i4>
      </vt:variant>
      <vt:variant>
        <vt:lpwstr>https://app.leg.wa.gov/WAc/default.aspx?cite=246-294-070</vt:lpwstr>
      </vt:variant>
      <vt:variant>
        <vt:lpwstr/>
      </vt:variant>
      <vt:variant>
        <vt:i4>196698</vt:i4>
      </vt:variant>
      <vt:variant>
        <vt:i4>66</vt:i4>
      </vt:variant>
      <vt:variant>
        <vt:i4>0</vt:i4>
      </vt:variant>
      <vt:variant>
        <vt:i4>5</vt:i4>
      </vt:variant>
      <vt:variant>
        <vt:lpwstr>https://app.leg.wa.gov/rcw/default.aspx?cite=70A.125.100</vt:lpwstr>
      </vt:variant>
      <vt:variant>
        <vt:lpwstr/>
      </vt:variant>
      <vt:variant>
        <vt:i4>6684731</vt:i4>
      </vt:variant>
      <vt:variant>
        <vt:i4>63</vt:i4>
      </vt:variant>
      <vt:variant>
        <vt:i4>0</vt:i4>
      </vt:variant>
      <vt:variant>
        <vt:i4>5</vt:i4>
      </vt:variant>
      <vt:variant>
        <vt:lpwstr>https://app.leg.wa.gov/RCW/default.aspx?cite=43.20B.020</vt:lpwstr>
      </vt:variant>
      <vt:variant>
        <vt:lpwstr/>
      </vt:variant>
      <vt:variant>
        <vt:i4>7864439</vt:i4>
      </vt:variant>
      <vt:variant>
        <vt:i4>60</vt:i4>
      </vt:variant>
      <vt:variant>
        <vt:i4>0</vt:i4>
      </vt:variant>
      <vt:variant>
        <vt:i4>5</vt:i4>
      </vt:variant>
      <vt:variant>
        <vt:lpwstr>https://app.leg.wa.gov/RCW/default.aspx?cite=43.70.250</vt:lpwstr>
      </vt:variant>
      <vt:variant>
        <vt:lpwstr/>
      </vt:variant>
      <vt:variant>
        <vt:i4>2556026</vt:i4>
      </vt:variant>
      <vt:variant>
        <vt:i4>57</vt:i4>
      </vt:variant>
      <vt:variant>
        <vt:i4>0</vt:i4>
      </vt:variant>
      <vt:variant>
        <vt:i4>5</vt:i4>
      </vt:variant>
      <vt:variant>
        <vt:lpwstr>https://app.leg.wa.gov/RCW/default.aspx?cite=70A.120&amp;full=true</vt:lpwstr>
      </vt:variant>
      <vt:variant>
        <vt:lpwstr/>
      </vt:variant>
      <vt:variant>
        <vt:i4>2228346</vt:i4>
      </vt:variant>
      <vt:variant>
        <vt:i4>54</vt:i4>
      </vt:variant>
      <vt:variant>
        <vt:i4>0</vt:i4>
      </vt:variant>
      <vt:variant>
        <vt:i4>5</vt:i4>
      </vt:variant>
      <vt:variant>
        <vt:lpwstr>https://app.leg.wa.gov/RCW/default.aspx?cite=70A.125&amp;full=true</vt:lpwstr>
      </vt:variant>
      <vt:variant>
        <vt:lpwstr/>
      </vt:variant>
      <vt:variant>
        <vt:i4>4784222</vt:i4>
      </vt:variant>
      <vt:variant>
        <vt:i4>51</vt:i4>
      </vt:variant>
      <vt:variant>
        <vt:i4>0</vt:i4>
      </vt:variant>
      <vt:variant>
        <vt:i4>5</vt:i4>
      </vt:variant>
      <vt:variant>
        <vt:lpwstr>https://app.leg.wa.gov/waC/default.aspx?cite=246-292-995</vt:lpwstr>
      </vt:variant>
      <vt:variant>
        <vt:lpwstr/>
      </vt:variant>
      <vt:variant>
        <vt:i4>6684731</vt:i4>
      </vt:variant>
      <vt:variant>
        <vt:i4>48</vt:i4>
      </vt:variant>
      <vt:variant>
        <vt:i4>0</vt:i4>
      </vt:variant>
      <vt:variant>
        <vt:i4>5</vt:i4>
      </vt:variant>
      <vt:variant>
        <vt:lpwstr>https://app.leg.wa.gov/RCW/default.aspx?cite=43.20B.020</vt:lpwstr>
      </vt:variant>
      <vt:variant>
        <vt:lpwstr/>
      </vt:variant>
      <vt:variant>
        <vt:i4>7864439</vt:i4>
      </vt:variant>
      <vt:variant>
        <vt:i4>45</vt:i4>
      </vt:variant>
      <vt:variant>
        <vt:i4>0</vt:i4>
      </vt:variant>
      <vt:variant>
        <vt:i4>5</vt:i4>
      </vt:variant>
      <vt:variant>
        <vt:lpwstr>https://app.leg.wa.gov/RCW/default.aspx?cite=43.70.250</vt:lpwstr>
      </vt:variant>
      <vt:variant>
        <vt:lpwstr/>
      </vt:variant>
      <vt:variant>
        <vt:i4>2556026</vt:i4>
      </vt:variant>
      <vt:variant>
        <vt:i4>42</vt:i4>
      </vt:variant>
      <vt:variant>
        <vt:i4>0</vt:i4>
      </vt:variant>
      <vt:variant>
        <vt:i4>5</vt:i4>
      </vt:variant>
      <vt:variant>
        <vt:lpwstr>https://app.leg.wa.gov/RCW/default.aspx?cite=70A.120&amp;full=true</vt:lpwstr>
      </vt:variant>
      <vt:variant>
        <vt:lpwstr/>
      </vt:variant>
      <vt:variant>
        <vt:i4>2228346</vt:i4>
      </vt:variant>
      <vt:variant>
        <vt:i4>39</vt:i4>
      </vt:variant>
      <vt:variant>
        <vt:i4>0</vt:i4>
      </vt:variant>
      <vt:variant>
        <vt:i4>5</vt:i4>
      </vt:variant>
      <vt:variant>
        <vt:lpwstr>https://app.leg.wa.gov/RCW/default.aspx?cite=70A.125&amp;full=true</vt:lpwstr>
      </vt:variant>
      <vt:variant>
        <vt:lpwstr/>
      </vt:variant>
      <vt:variant>
        <vt:i4>5111902</vt:i4>
      </vt:variant>
      <vt:variant>
        <vt:i4>36</vt:i4>
      </vt:variant>
      <vt:variant>
        <vt:i4>0</vt:i4>
      </vt:variant>
      <vt:variant>
        <vt:i4>5</vt:i4>
      </vt:variant>
      <vt:variant>
        <vt:lpwstr>https://app.leg.wa.gov/WAC/default.aspx?cite=246-290-990</vt:lpwstr>
      </vt:variant>
      <vt:variant>
        <vt:lpwstr/>
      </vt:variant>
      <vt:variant>
        <vt:i4>5111902</vt:i4>
      </vt:variant>
      <vt:variant>
        <vt:i4>33</vt:i4>
      </vt:variant>
      <vt:variant>
        <vt:i4>0</vt:i4>
      </vt:variant>
      <vt:variant>
        <vt:i4>5</vt:i4>
      </vt:variant>
      <vt:variant>
        <vt:lpwstr>https://app.leg.wa.gov/WAC/default.aspx?cite=246-290-990</vt:lpwstr>
      </vt:variant>
      <vt:variant>
        <vt:lpwstr/>
      </vt:variant>
      <vt:variant>
        <vt:i4>6684731</vt:i4>
      </vt:variant>
      <vt:variant>
        <vt:i4>30</vt:i4>
      </vt:variant>
      <vt:variant>
        <vt:i4>0</vt:i4>
      </vt:variant>
      <vt:variant>
        <vt:i4>5</vt:i4>
      </vt:variant>
      <vt:variant>
        <vt:lpwstr>https://app.leg.wa.gov/RCW/default.aspx?cite=43.20B.020</vt:lpwstr>
      </vt:variant>
      <vt:variant>
        <vt:lpwstr/>
      </vt:variant>
      <vt:variant>
        <vt:i4>7864439</vt:i4>
      </vt:variant>
      <vt:variant>
        <vt:i4>27</vt:i4>
      </vt:variant>
      <vt:variant>
        <vt:i4>0</vt:i4>
      </vt:variant>
      <vt:variant>
        <vt:i4>5</vt:i4>
      </vt:variant>
      <vt:variant>
        <vt:lpwstr>https://app.leg.wa.gov/RCW/default.aspx?cite=43.70.250</vt:lpwstr>
      </vt:variant>
      <vt:variant>
        <vt:lpwstr/>
      </vt:variant>
      <vt:variant>
        <vt:i4>2556026</vt:i4>
      </vt:variant>
      <vt:variant>
        <vt:i4>24</vt:i4>
      </vt:variant>
      <vt:variant>
        <vt:i4>0</vt:i4>
      </vt:variant>
      <vt:variant>
        <vt:i4>5</vt:i4>
      </vt:variant>
      <vt:variant>
        <vt:lpwstr>https://app.leg.wa.gov/RCW/default.aspx?cite=70A.120&amp;full=true</vt:lpwstr>
      </vt:variant>
      <vt:variant>
        <vt:lpwstr/>
      </vt:variant>
      <vt:variant>
        <vt:i4>2228346</vt:i4>
      </vt:variant>
      <vt:variant>
        <vt:i4>21</vt:i4>
      </vt:variant>
      <vt:variant>
        <vt:i4>0</vt:i4>
      </vt:variant>
      <vt:variant>
        <vt:i4>5</vt:i4>
      </vt:variant>
      <vt:variant>
        <vt:lpwstr>https://app.leg.wa.gov/RCW/default.aspx?cite=70A.125&amp;full=true</vt:lpwstr>
      </vt:variant>
      <vt:variant>
        <vt:lpwstr/>
      </vt:variant>
      <vt:variant>
        <vt:i4>1310768</vt:i4>
      </vt:variant>
      <vt:variant>
        <vt:i4>14</vt:i4>
      </vt:variant>
      <vt:variant>
        <vt:i4>0</vt:i4>
      </vt:variant>
      <vt:variant>
        <vt:i4>5</vt:i4>
      </vt:variant>
      <vt:variant>
        <vt:lpwstr/>
      </vt:variant>
      <vt:variant>
        <vt:lpwstr>_Toc203026352</vt:lpwstr>
      </vt:variant>
      <vt:variant>
        <vt:i4>1310768</vt:i4>
      </vt:variant>
      <vt:variant>
        <vt:i4>8</vt:i4>
      </vt:variant>
      <vt:variant>
        <vt:i4>0</vt:i4>
      </vt:variant>
      <vt:variant>
        <vt:i4>5</vt:i4>
      </vt:variant>
      <vt:variant>
        <vt:lpwstr/>
      </vt:variant>
      <vt:variant>
        <vt:lpwstr>_Toc203026351</vt:lpwstr>
      </vt:variant>
      <vt:variant>
        <vt:i4>1310768</vt:i4>
      </vt:variant>
      <vt:variant>
        <vt:i4>2</vt:i4>
      </vt:variant>
      <vt:variant>
        <vt:i4>0</vt:i4>
      </vt:variant>
      <vt:variant>
        <vt:i4>5</vt:i4>
      </vt:variant>
      <vt:variant>
        <vt:lpwstr/>
      </vt:variant>
      <vt:variant>
        <vt:lpwstr>_Toc203026350</vt:lpwstr>
      </vt:variant>
      <vt:variant>
        <vt:i4>4522101</vt:i4>
      </vt:variant>
      <vt:variant>
        <vt:i4>21</vt:i4>
      </vt:variant>
      <vt:variant>
        <vt:i4>0</vt:i4>
      </vt:variant>
      <vt:variant>
        <vt:i4>5</vt:i4>
      </vt:variant>
      <vt:variant>
        <vt:lpwstr>mailto:Kay.Rottell@doh.wa.gov</vt:lpwstr>
      </vt:variant>
      <vt:variant>
        <vt:lpwstr/>
      </vt:variant>
      <vt:variant>
        <vt:i4>4522101</vt:i4>
      </vt:variant>
      <vt:variant>
        <vt:i4>18</vt:i4>
      </vt:variant>
      <vt:variant>
        <vt:i4>0</vt:i4>
      </vt:variant>
      <vt:variant>
        <vt:i4>5</vt:i4>
      </vt:variant>
      <vt:variant>
        <vt:lpwstr>mailto:Kay.Rottell@doh.wa.gov</vt:lpwstr>
      </vt:variant>
      <vt:variant>
        <vt:lpwstr/>
      </vt:variant>
      <vt:variant>
        <vt:i4>37</vt:i4>
      </vt:variant>
      <vt:variant>
        <vt:i4>15</vt:i4>
      </vt:variant>
      <vt:variant>
        <vt:i4>0</vt:i4>
      </vt:variant>
      <vt:variant>
        <vt:i4>5</vt:i4>
      </vt:variant>
      <vt:variant>
        <vt:lpwstr>mailto:Katitza.Holthaus@doh.wa.gov</vt:lpwstr>
      </vt:variant>
      <vt:variant>
        <vt:lpwstr/>
      </vt:variant>
      <vt:variant>
        <vt:i4>37</vt:i4>
      </vt:variant>
      <vt:variant>
        <vt:i4>12</vt:i4>
      </vt:variant>
      <vt:variant>
        <vt:i4>0</vt:i4>
      </vt:variant>
      <vt:variant>
        <vt:i4>5</vt:i4>
      </vt:variant>
      <vt:variant>
        <vt:lpwstr>mailto:Katitza.Holthaus@doh.wa.gov</vt:lpwstr>
      </vt:variant>
      <vt:variant>
        <vt:lpwstr/>
      </vt:variant>
      <vt:variant>
        <vt:i4>37</vt:i4>
      </vt:variant>
      <vt:variant>
        <vt:i4>9</vt:i4>
      </vt:variant>
      <vt:variant>
        <vt:i4>0</vt:i4>
      </vt:variant>
      <vt:variant>
        <vt:i4>5</vt:i4>
      </vt:variant>
      <vt:variant>
        <vt:lpwstr>mailto:Katitza.Holthaus@doh.wa.gov</vt:lpwstr>
      </vt:variant>
      <vt:variant>
        <vt:lpwstr/>
      </vt:variant>
      <vt:variant>
        <vt:i4>4522101</vt:i4>
      </vt:variant>
      <vt:variant>
        <vt:i4>6</vt:i4>
      </vt:variant>
      <vt:variant>
        <vt:i4>0</vt:i4>
      </vt:variant>
      <vt:variant>
        <vt:i4>5</vt:i4>
      </vt:variant>
      <vt:variant>
        <vt:lpwstr>mailto:Kay.Rottell@doh.wa.gov</vt:lpwstr>
      </vt:variant>
      <vt:variant>
        <vt:lpwstr/>
      </vt:variant>
      <vt:variant>
        <vt:i4>4522101</vt:i4>
      </vt:variant>
      <vt:variant>
        <vt:i4>3</vt:i4>
      </vt:variant>
      <vt:variant>
        <vt:i4>0</vt:i4>
      </vt:variant>
      <vt:variant>
        <vt:i4>5</vt:i4>
      </vt:variant>
      <vt:variant>
        <vt:lpwstr>mailto:Kay.Rottell@doh.wa.gov</vt:lpwstr>
      </vt:variant>
      <vt:variant>
        <vt:lpwstr/>
      </vt:variant>
      <vt:variant>
        <vt:i4>2686978</vt:i4>
      </vt:variant>
      <vt:variant>
        <vt:i4>0</vt:i4>
      </vt:variant>
      <vt:variant>
        <vt:i4>0</vt:i4>
      </vt:variant>
      <vt:variant>
        <vt:i4>5</vt:i4>
      </vt:variant>
      <vt:variant>
        <vt:lpwstr>mailto:Jeanna.Sieving@doh.wa.gov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ODW Rulemaking - Fees Economic Impact Analysis Report</dc:title>
  <dc:subject/>
  <dc:creator>Washington State Department of Health</dc:creator>
  <cp:keywords/>
  <dc:description/>
  <cp:lastModifiedBy>Hamilton, Ben  (DOH)</cp:lastModifiedBy>
  <cp:revision>2</cp:revision>
  <cp:lastPrinted>2020-08-29T21:25:00Z</cp:lastPrinted>
  <dcterms:created xsi:type="dcterms:W3CDTF">2025-07-11T21:49:00Z</dcterms:created>
  <dcterms:modified xsi:type="dcterms:W3CDTF">2025-07-11T21:49:00Z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0x0101008AA60FE9E72A0B46B2C2F3CF131C5189</vt:lpwstr>
  </property>
  <property fmtid="{D5CDD505-2E9C-101B-9397-08002B2CF9AE}" pid="3" name="_dlc_DocIdItemGuid">
    <vt:lpwstr>c7d1fd29-7d14-4415-9596-fca59399176b</vt:lpwstr>
  </property>
  <property fmtid="{D5CDD505-2E9C-101B-9397-08002B2CF9AE}" pid="4" name="MSIP_Label_1520fa42-cf58-4c22-8b93-58cf1d3bd1cb_Enabled">
    <vt:lpwstr>true</vt:lpwstr>
  </property>
  <property fmtid="{D5CDD505-2E9C-101B-9397-08002B2CF9AE}" pid="5" name="MSIP_Label_1520fa42-cf58-4c22-8b93-58cf1d3bd1cb_SetDate">
    <vt:lpwstr>2022-06-29T17:00:11Z</vt:lpwstr>
  </property>
  <property fmtid="{D5CDD505-2E9C-101B-9397-08002B2CF9AE}" pid="6" name="MSIP_Label_1520fa42-cf58-4c22-8b93-58cf1d3bd1cb_Method">
    <vt:lpwstr>Standard</vt:lpwstr>
  </property>
  <property fmtid="{D5CDD505-2E9C-101B-9397-08002B2CF9AE}" pid="7" name="MSIP_Label_1520fa42-cf58-4c22-8b93-58cf1d3bd1cb_Name">
    <vt:lpwstr>Public Information</vt:lpwstr>
  </property>
  <property fmtid="{D5CDD505-2E9C-101B-9397-08002B2CF9AE}" pid="8" name="MSIP_Label_1520fa42-cf58-4c22-8b93-58cf1d3bd1cb_SiteId">
    <vt:lpwstr>11d0e217-264e-400a-8ba0-57dcc127d72d</vt:lpwstr>
  </property>
  <property fmtid="{D5CDD505-2E9C-101B-9397-08002B2CF9AE}" pid="9" name="MSIP_Label_1520fa42-cf58-4c22-8b93-58cf1d3bd1cb_ActionId">
    <vt:lpwstr>cb4e4c0b-3d6e-4568-b432-cbc38bd9a430</vt:lpwstr>
  </property>
  <property fmtid="{D5CDD505-2E9C-101B-9397-08002B2CF9AE}" pid="10" name="MSIP_Label_1520fa42-cf58-4c22-8b93-58cf1d3bd1cb_ContentBits">
    <vt:lpwstr>0</vt:lpwstr>
  </property>
  <property fmtid="{D5CDD505-2E9C-101B-9397-08002B2CF9AE}" pid="11" name="MediaServiceImageTags">
    <vt:lpwstr/>
  </property>
</Properties>
</file>