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E302C" w14:textId="77777777" w:rsidR="00875AE9" w:rsidRDefault="00051192">
      <w:pPr>
        <w:spacing w:before="600" w:after="480" w:line="640" w:lineRule="exact"/>
      </w:pPr>
      <w:r>
        <w:rPr>
          <w:u w:val="single"/>
        </w:rPr>
        <w:t>AMENDATORY SECTION</w:t>
      </w:r>
      <w:r>
        <w:t> (Amending WSR 06-16-120, filed 8/1/06, effective 9/1/06)</w:t>
      </w:r>
    </w:p>
    <w:p w14:paraId="131AE486" w14:textId="77777777" w:rsidR="00875AE9" w:rsidRDefault="00051192">
      <w:pPr>
        <w:spacing w:line="640" w:lineRule="exact"/>
        <w:ind w:firstLine="720"/>
      </w:pPr>
      <w:r>
        <w:rPr>
          <w:b/>
        </w:rPr>
        <w:t>WAC 246-260-</w:t>
      </w:r>
      <w:proofErr w:type="gramStart"/>
      <w:r>
        <w:rPr>
          <w:b/>
        </w:rPr>
        <w:t>9901</w:t>
      </w:r>
      <w:r>
        <w:t xml:space="preserve">  </w:t>
      </w:r>
      <w:r>
        <w:rPr>
          <w:b/>
        </w:rPr>
        <w:t>Fees</w:t>
      </w:r>
      <w:proofErr w:type="gramEnd"/>
      <w:r>
        <w:rPr>
          <w:b/>
        </w:rPr>
        <w:t>.</w:t>
      </w:r>
      <w:r>
        <w:t xml:space="preserve">  (1) ((</w:t>
      </w:r>
      <w:r>
        <w:rPr>
          <w:smallCaps/>
          <w:strike/>
        </w:rPr>
        <w:t>construction permit fees.</w:t>
      </w:r>
      <w:r>
        <w:t>)) The department ((</w:t>
      </w:r>
      <w:r>
        <w:rPr>
          <w:strike/>
        </w:rPr>
        <w:t>establishes</w:t>
      </w:r>
      <w:r>
        <w:t xml:space="preserve">)) </w:t>
      </w:r>
      <w:r>
        <w:rPr>
          <w:u w:val="single"/>
        </w:rPr>
        <w:t>shall charge</w:t>
      </w:r>
      <w:r>
        <w:t xml:space="preserve"> the </w:t>
      </w:r>
      <w:r>
        <w:rPr>
          <w:u w:val="single"/>
        </w:rPr>
        <w:t>following</w:t>
      </w:r>
      <w:r>
        <w:t xml:space="preserve"> </w:t>
      </w:r>
      <w:proofErr w:type="gramStart"/>
      <w:r>
        <w:t>fees ((</w:t>
      </w:r>
      <w:proofErr w:type="gramEnd"/>
      <w:r>
        <w:rPr>
          <w:strike/>
        </w:rPr>
        <w:t>listed in Table 990.1</w:t>
      </w:r>
      <w:r>
        <w:t>)) for construction permits ((</w:t>
      </w:r>
      <w:r>
        <w:rPr>
          <w:strike/>
        </w:rPr>
        <w:t>for carrying out its duties under WAC 246-260-021.</w:t>
      </w:r>
      <w:r>
        <w:t>))</w:t>
      </w:r>
      <w:r>
        <w:rPr>
          <w:u w:val="single"/>
        </w:rPr>
        <w:t>:</w:t>
      </w:r>
    </w:p>
    <w:p w14:paraId="09BDA8AC" w14:textId="77777777" w:rsidR="00875AE9" w:rsidRDefault="00051192">
      <w:pPr>
        <w:spacing w:line="640" w:lineRule="exact"/>
        <w:ind w:firstLine="720"/>
      </w:pPr>
      <w:r>
        <w:t xml:space="preserve">(a) </w:t>
      </w:r>
      <w:r>
        <w:rPr>
          <w:u w:val="single"/>
        </w:rPr>
        <w:t>$1,600 for swimming pools with 100,000 gallons or more in volume. This includes eight hours of review time. Additional time will be billed at the rate of $198 per hour.</w:t>
      </w:r>
    </w:p>
    <w:p w14:paraId="4BFC869B" w14:textId="77777777" w:rsidR="00875AE9" w:rsidRDefault="00051192">
      <w:pPr>
        <w:spacing w:line="640" w:lineRule="exact"/>
        <w:ind w:firstLine="720"/>
      </w:pPr>
      <w:r>
        <w:rPr>
          <w:u w:val="single"/>
        </w:rPr>
        <w:t>(b) $800 for swimming pools less than 100,000 gallons, spa pools, and recirculating spray pools. This includes four hours of review time. Additional time will be billed at the rate of $198 per hour.</w:t>
      </w:r>
    </w:p>
    <w:p w14:paraId="31C4C406" w14:textId="77777777" w:rsidR="00875AE9" w:rsidRDefault="00051192">
      <w:pPr>
        <w:spacing w:line="640" w:lineRule="exact"/>
        <w:ind w:firstLine="720"/>
      </w:pPr>
      <w:r>
        <w:rPr>
          <w:u w:val="single"/>
        </w:rPr>
        <w:t xml:space="preserve">(c) $400 for wading pools and </w:t>
      </w:r>
      <w:proofErr w:type="gramStart"/>
      <w:r>
        <w:rPr>
          <w:u w:val="single"/>
        </w:rPr>
        <w:t>nonrecirculating</w:t>
      </w:r>
      <w:proofErr w:type="gramEnd"/>
      <w:r>
        <w:rPr>
          <w:u w:val="single"/>
        </w:rPr>
        <w:t xml:space="preserve"> spray pools. This includes two hours of review time. Additional time will be billed at the rate of $198 per hour.</w:t>
      </w:r>
    </w:p>
    <w:p w14:paraId="64A0DA3E" w14:textId="77777777" w:rsidR="00875AE9" w:rsidRDefault="00051192">
      <w:pPr>
        <w:spacing w:line="640" w:lineRule="exact"/>
        <w:ind w:firstLine="720"/>
      </w:pPr>
      <w:r>
        <w:rPr>
          <w:u w:val="single"/>
        </w:rPr>
        <w:t xml:space="preserve">(d) $198 per hour for review of plans for alterations, </w:t>
      </w:r>
      <w:proofErr w:type="gramStart"/>
      <w:r>
        <w:rPr>
          <w:u w:val="single"/>
        </w:rPr>
        <w:t>renovations, or</w:t>
      </w:r>
      <w:proofErr w:type="gramEnd"/>
      <w:r>
        <w:rPr>
          <w:u w:val="single"/>
        </w:rPr>
        <w:t xml:space="preserve"> modifications to existing swimming, spa, wading, or spray pools. </w:t>
      </w:r>
    </w:p>
    <w:p w14:paraId="09E161FB" w14:textId="77777777" w:rsidR="00875AE9" w:rsidRDefault="00051192">
      <w:pPr>
        <w:spacing w:line="640" w:lineRule="exact"/>
        <w:ind w:firstLine="720"/>
      </w:pPr>
      <w:r>
        <w:rPr>
          <w:u w:val="single"/>
        </w:rPr>
        <w:lastRenderedPageBreak/>
        <w:t>(2)</w:t>
      </w:r>
      <w:r>
        <w:t xml:space="preserve"> The applicant must submit the ((</w:t>
      </w:r>
      <w:r>
        <w:rPr>
          <w:strike/>
        </w:rPr>
        <w:t>base fee</w:t>
      </w:r>
      <w:r>
        <w:t xml:space="preserve">)) </w:t>
      </w:r>
      <w:r>
        <w:rPr>
          <w:u w:val="single"/>
        </w:rPr>
        <w:t>applicable construction permit fee listed in subsection (1) of this section</w:t>
      </w:r>
      <w:r>
        <w:t xml:space="preserve"> to the department prior to </w:t>
      </w:r>
      <w:r>
        <w:rPr>
          <w:u w:val="single"/>
        </w:rPr>
        <w:t>the department initiating</w:t>
      </w:r>
      <w:r>
        <w:t xml:space="preserve"> plan </w:t>
      </w:r>
      <w:proofErr w:type="gramStart"/>
      <w:r>
        <w:t>review ((</w:t>
      </w:r>
      <w:r>
        <w:rPr>
          <w:strike/>
        </w:rPr>
        <w:t>initiation</w:t>
      </w:r>
      <w:r>
        <w:t>))</w:t>
      </w:r>
      <w:proofErr w:type="gramEnd"/>
      <w:r>
        <w:t>.</w:t>
      </w:r>
    </w:p>
    <w:p w14:paraId="26788B6A" w14:textId="77777777" w:rsidR="00875AE9" w:rsidRDefault="00051192">
      <w:pPr>
        <w:spacing w:line="640" w:lineRule="exact"/>
        <w:ind w:firstLine="720"/>
      </w:pPr>
      <w:r>
        <w:t>((</w:t>
      </w:r>
      <w:r>
        <w:rPr>
          <w:strike/>
        </w:rPr>
        <w:t>(b)</w:t>
      </w:r>
      <w:r>
        <w:t xml:space="preserve">)) </w:t>
      </w:r>
      <w:r>
        <w:rPr>
          <w:u w:val="single"/>
        </w:rPr>
        <w:t>(a)</w:t>
      </w:r>
      <w:r>
        <w:t xml:space="preserve"> Hourly charges for plan review will be charged regardless of whether the construction permit is issued or not.</w:t>
      </w:r>
    </w:p>
    <w:p w14:paraId="798921F1" w14:textId="77777777" w:rsidR="00875AE9" w:rsidRDefault="00051192">
      <w:pPr>
        <w:spacing w:line="640" w:lineRule="exact"/>
        <w:ind w:firstLine="720"/>
      </w:pPr>
      <w:r>
        <w:t>((</w:t>
      </w:r>
      <w:r>
        <w:rPr>
          <w:strike/>
        </w:rPr>
        <w:t>(c)</w:t>
      </w:r>
      <w:r>
        <w:t xml:space="preserve">)) </w:t>
      </w:r>
      <w:r>
        <w:rPr>
          <w:u w:val="single"/>
        </w:rPr>
        <w:t>(b)</w:t>
      </w:r>
      <w:r>
        <w:t xml:space="preserve"> The </w:t>
      </w:r>
      <w:proofErr w:type="gramStart"/>
      <w:r>
        <w:t>department ((</w:t>
      </w:r>
      <w:proofErr w:type="gramEnd"/>
      <w:r>
        <w:rPr>
          <w:strike/>
        </w:rPr>
        <w:t>will issue</w:t>
      </w:r>
      <w:r>
        <w:t xml:space="preserve">)) </w:t>
      </w:r>
      <w:r>
        <w:rPr>
          <w:u w:val="single"/>
        </w:rPr>
        <w:t>may withhold</w:t>
      </w:r>
      <w:r>
        <w:t xml:space="preserve"> the construction permit ((</w:t>
      </w:r>
      <w:r>
        <w:rPr>
          <w:strike/>
        </w:rPr>
        <w:t>once</w:t>
      </w:r>
      <w:r>
        <w:t xml:space="preserve">)) </w:t>
      </w:r>
      <w:r>
        <w:rPr>
          <w:u w:val="single"/>
        </w:rPr>
        <w:t>until</w:t>
      </w:r>
      <w:r>
        <w:t xml:space="preserve"> full payment has been received.</w:t>
      </w:r>
    </w:p>
    <w:p w14:paraId="1CE822D9" w14:textId="77777777" w:rsidR="00875AE9" w:rsidRDefault="00051192">
      <w:pPr>
        <w:spacing w:line="640" w:lineRule="exact"/>
        <w:ind w:firstLine="720"/>
      </w:pPr>
      <w:r>
        <w:t>((</w:t>
      </w:r>
      <w:r>
        <w:rPr>
          <w:strike/>
        </w:rPr>
        <w:t>(d) The applicant must pay the costs of a safety engineer to review plans when department determines need per WAC 246-260-021(4).</w:t>
      </w:r>
    </w:p>
    <w:p w14:paraId="108DA1E5" w14:textId="77777777" w:rsidR="00875AE9" w:rsidRDefault="00051192">
      <w:pPr>
        <w:spacing w:before="120" w:line="640" w:lineRule="exact"/>
        <w:jc w:val="center"/>
        <w:rPr>
          <w:sz w:val="20"/>
        </w:rPr>
      </w:pPr>
      <w:r>
        <w:rPr>
          <w:b/>
          <w:strike/>
          <w:sz w:val="16"/>
        </w:rPr>
        <w:t>TABLE 990.1</w:t>
      </w:r>
    </w:p>
    <w:p w14:paraId="24889779" w14:textId="77777777" w:rsidR="00875AE9" w:rsidRDefault="00051192">
      <w:pPr>
        <w:spacing w:line="640" w:lineRule="exact"/>
        <w:jc w:val="center"/>
        <w:rPr>
          <w:sz w:val="20"/>
        </w:rPr>
      </w:pPr>
      <w:r>
        <w:rPr>
          <w:b/>
          <w:strike/>
          <w:sz w:val="16"/>
        </w:rPr>
        <w:t>CONSTRUCTION PERMIT FEES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"/>
        <w:gridCol w:w="4470"/>
        <w:gridCol w:w="2190"/>
        <w:gridCol w:w="2810"/>
      </w:tblGrid>
      <w:tr w:rsidR="00875AE9" w14:paraId="486DA216" w14:textId="77777777">
        <w:trPr>
          <w:cantSplit/>
          <w:tblHeader/>
          <w:jc w:val="center"/>
        </w:trPr>
        <w:tc>
          <w:tcPr>
            <w:tcW w:w="69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727C929" w14:textId="77777777" w:rsidR="00875AE9" w:rsidRDefault="00875AE9">
            <w:pPr>
              <w:spacing w:line="0" w:lineRule="atLeast"/>
            </w:pPr>
          </w:p>
        </w:tc>
        <w:tc>
          <w:tcPr>
            <w:tcW w:w="447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C5CF952" w14:textId="77777777" w:rsidR="00875AE9" w:rsidRDefault="00051192">
            <w:pPr>
              <w:spacing w:line="0" w:lineRule="atLeast"/>
            </w:pPr>
            <w:r>
              <w:rPr>
                <w:rFonts w:ascii="Times New Roman" w:hAnsi="Times New Roman"/>
                <w:smallCaps/>
                <w:strike/>
                <w:sz w:val="20"/>
              </w:rPr>
              <w:t>type of facility</w:t>
            </w:r>
          </w:p>
        </w:tc>
        <w:tc>
          <w:tcPr>
            <w:tcW w:w="2190" w:type="dxa"/>
            <w:vMerge w:val="restart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5D586F2" w14:textId="77777777" w:rsidR="00875AE9" w:rsidRDefault="00875AE9">
            <w:pPr>
              <w:spacing w:line="0" w:lineRule="atLeast"/>
            </w:pPr>
          </w:p>
        </w:tc>
        <w:tc>
          <w:tcPr>
            <w:tcW w:w="281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BA6C8AD" w14:textId="77777777" w:rsidR="00875AE9" w:rsidRDefault="00051192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mallCaps/>
                <w:strike/>
                <w:sz w:val="20"/>
              </w:rPr>
              <w:t>construction permit plan</w:t>
            </w:r>
          </w:p>
        </w:tc>
      </w:tr>
      <w:tr w:rsidR="00875AE9" w14:paraId="3C3CCF48" w14:textId="77777777">
        <w:trPr>
          <w:cantSplit/>
          <w:tblHeader/>
          <w:jc w:val="center"/>
        </w:trPr>
        <w:tc>
          <w:tcPr>
            <w:tcW w:w="69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0F00EF8" w14:textId="77777777" w:rsidR="00875AE9" w:rsidRDefault="00875AE9">
            <w:pPr>
              <w:spacing w:line="0" w:lineRule="atLeast"/>
            </w:pPr>
          </w:p>
        </w:tc>
        <w:tc>
          <w:tcPr>
            <w:tcW w:w="447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47B05EE" w14:textId="77777777" w:rsidR="00875AE9" w:rsidRDefault="00875AE9">
            <w:pPr>
              <w:spacing w:line="0" w:lineRule="atLeast"/>
            </w:pPr>
          </w:p>
        </w:tc>
        <w:tc>
          <w:tcPr>
            <w:tcW w:w="219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E9F3A06" w14:textId="77777777" w:rsidR="00875AE9" w:rsidRDefault="00875AE9">
            <w:pPr>
              <w:spacing w:line="0" w:lineRule="atLeast"/>
            </w:pPr>
          </w:p>
        </w:tc>
        <w:tc>
          <w:tcPr>
            <w:tcW w:w="281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D81EBB8" w14:textId="77777777" w:rsidR="00875AE9" w:rsidRDefault="00051192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mallCaps/>
                <w:strike/>
                <w:sz w:val="20"/>
              </w:rPr>
              <w:t>review fees</w:t>
            </w:r>
          </w:p>
        </w:tc>
      </w:tr>
      <w:tr w:rsidR="00875AE9" w14:paraId="3609F7C0" w14:textId="77777777">
        <w:trPr>
          <w:jc w:val="center"/>
        </w:trPr>
        <w:tc>
          <w:tcPr>
            <w:tcW w:w="690" w:type="dxa"/>
            <w:vMerge w:val="restart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3E8C40B" w14:textId="77777777" w:rsidR="00875AE9" w:rsidRDefault="00051192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I.</w:t>
            </w:r>
          </w:p>
        </w:tc>
        <w:tc>
          <w:tcPr>
            <w:tcW w:w="9470" w:type="dxa"/>
            <w:gridSpan w:val="3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3B58708" w14:textId="77777777" w:rsidR="00875AE9" w:rsidRDefault="00051192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Swimming Pools</w:t>
            </w:r>
          </w:p>
        </w:tc>
      </w:tr>
      <w:tr w:rsidR="00875AE9" w14:paraId="2E649BC8" w14:textId="77777777">
        <w:trPr>
          <w:jc w:val="center"/>
        </w:trPr>
        <w:tc>
          <w:tcPr>
            <w:tcW w:w="0" w:type="auto"/>
            <w:vMerge/>
          </w:tcPr>
          <w:p w14:paraId="37726348" w14:textId="77777777" w:rsidR="00875AE9" w:rsidRDefault="00875AE9"/>
        </w:tc>
        <w:tc>
          <w:tcPr>
            <w:tcW w:w="516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A579587" w14:textId="77777777" w:rsidR="00875AE9" w:rsidRDefault="00051192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100,000 gallons or more in volume</w:t>
            </w:r>
          </w:p>
        </w:tc>
        <w:tc>
          <w:tcPr>
            <w:tcW w:w="219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D1023C0" w14:textId="77777777" w:rsidR="00875AE9" w:rsidRDefault="00051192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$ 800.00 plus</w:t>
            </w:r>
          </w:p>
          <w:p w14:paraId="7F385011" w14:textId="77777777" w:rsidR="00875AE9" w:rsidRDefault="00051192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$ 99/hr. for all hours of review time greater than 8 hours</w:t>
            </w:r>
          </w:p>
        </w:tc>
      </w:tr>
      <w:tr w:rsidR="00875AE9" w14:paraId="61B4B6EC" w14:textId="77777777">
        <w:trPr>
          <w:jc w:val="center"/>
        </w:trPr>
        <w:tc>
          <w:tcPr>
            <w:tcW w:w="69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4B90805" w14:textId="77777777" w:rsidR="00875AE9" w:rsidRDefault="00051192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II.</w:t>
            </w:r>
          </w:p>
        </w:tc>
        <w:tc>
          <w:tcPr>
            <w:tcW w:w="666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97582C8" w14:textId="77777777" w:rsidR="00875AE9" w:rsidRDefault="00051192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Swimming Pools less than 100,000 gallons, Spa Pools, and Recirculating Spray Pools</w:t>
            </w:r>
          </w:p>
        </w:tc>
        <w:tc>
          <w:tcPr>
            <w:tcW w:w="281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C26F9C4" w14:textId="77777777" w:rsidR="00875AE9" w:rsidRDefault="00051192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$ 400.00 plus</w:t>
            </w:r>
          </w:p>
          <w:p w14:paraId="1E489624" w14:textId="77777777" w:rsidR="00875AE9" w:rsidRDefault="00051192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$ 99/hr. for all hours of review time greater than 4 hours</w:t>
            </w:r>
          </w:p>
        </w:tc>
      </w:tr>
      <w:tr w:rsidR="00875AE9" w14:paraId="6D76EFF0" w14:textId="77777777">
        <w:trPr>
          <w:jc w:val="center"/>
        </w:trPr>
        <w:tc>
          <w:tcPr>
            <w:tcW w:w="69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CDA5F63" w14:textId="77777777" w:rsidR="00875AE9" w:rsidRDefault="00051192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III.</w:t>
            </w:r>
          </w:p>
        </w:tc>
        <w:tc>
          <w:tcPr>
            <w:tcW w:w="666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08A4923" w14:textId="77777777" w:rsidR="00875AE9" w:rsidRDefault="00051192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Wading Pools and Nonrecirculating Spray Pools</w:t>
            </w:r>
          </w:p>
        </w:tc>
        <w:tc>
          <w:tcPr>
            <w:tcW w:w="281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424740C" w14:textId="77777777" w:rsidR="00875AE9" w:rsidRDefault="00051192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$ 200.00 plus</w:t>
            </w:r>
          </w:p>
          <w:p w14:paraId="2584A9E8" w14:textId="77777777" w:rsidR="00875AE9" w:rsidRDefault="00051192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$ 99/hr. for all hours of review time greater than 2 hours</w:t>
            </w:r>
          </w:p>
        </w:tc>
      </w:tr>
      <w:tr w:rsidR="00875AE9" w14:paraId="2E330F0A" w14:textId="77777777">
        <w:trPr>
          <w:jc w:val="center"/>
        </w:trPr>
        <w:tc>
          <w:tcPr>
            <w:tcW w:w="69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6DFAF0B" w14:textId="77777777" w:rsidR="00875AE9" w:rsidRDefault="00051192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IV.</w:t>
            </w:r>
          </w:p>
        </w:tc>
        <w:tc>
          <w:tcPr>
            <w:tcW w:w="9470" w:type="dxa"/>
            <w:gridSpan w:val="3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E4AFF5A" w14:textId="77777777" w:rsidR="00875AE9" w:rsidRDefault="00051192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Alterations, renovations, or modifications to existing swimming, spa, wading or spray pools $ 100.00 plus $ 99/hr. for all hours of review time greater than 1 hour.</w:t>
            </w:r>
          </w:p>
        </w:tc>
      </w:tr>
    </w:tbl>
    <w:p w14:paraId="77D4C952" w14:textId="77777777" w:rsidR="00875AE9" w:rsidRDefault="00051192">
      <w:pPr>
        <w:spacing w:line="640" w:lineRule="exact"/>
        <w:ind w:firstLine="720"/>
      </w:pPr>
      <w:r>
        <w:rPr>
          <w:strike/>
        </w:rPr>
        <w:t xml:space="preserve">(2) </w:t>
      </w:r>
      <w:r>
        <w:rPr>
          <w:smallCaps/>
          <w:strike/>
        </w:rPr>
        <w:t>operating permit fees</w:t>
      </w:r>
      <w:r>
        <w:rPr>
          <w:strike/>
        </w:rPr>
        <w:t xml:space="preserve"> The department establishes the fees listed in Table 990.2 for operating permits for carrying out its duties under WAC 246-260-101.</w:t>
      </w:r>
    </w:p>
    <w:p w14:paraId="393C5510" w14:textId="77777777" w:rsidR="00875AE9" w:rsidRDefault="00051192">
      <w:pPr>
        <w:spacing w:before="120" w:line="640" w:lineRule="exact"/>
        <w:jc w:val="center"/>
      </w:pPr>
      <w:r>
        <w:rPr>
          <w:b/>
          <w:strike/>
          <w:sz w:val="16"/>
        </w:rPr>
        <w:lastRenderedPageBreak/>
        <w:t>TABLE 990.2</w:t>
      </w:r>
    </w:p>
    <w:p w14:paraId="5A980D78" w14:textId="77777777" w:rsidR="00875AE9" w:rsidRDefault="00051192">
      <w:pPr>
        <w:spacing w:line="640" w:lineRule="exact"/>
        <w:jc w:val="center"/>
      </w:pPr>
      <w:r>
        <w:rPr>
          <w:b/>
          <w:strike/>
          <w:sz w:val="16"/>
        </w:rPr>
        <w:t>FEE SCHEDULE</w:t>
      </w:r>
    </w:p>
    <w:p w14:paraId="16499973" w14:textId="77777777" w:rsidR="00875AE9" w:rsidRDefault="00051192">
      <w:pPr>
        <w:spacing w:line="640" w:lineRule="exact"/>
        <w:jc w:val="center"/>
      </w:pPr>
      <w:r>
        <w:rPr>
          <w:b/>
          <w:strike/>
          <w:sz w:val="16"/>
        </w:rPr>
        <w:t>OPERATING PERMITS</w:t>
      </w:r>
    </w:p>
    <w:p w14:paraId="209096FD" w14:textId="77777777" w:rsidR="00875AE9" w:rsidRDefault="00051192">
      <w:pPr>
        <w:spacing w:line="640" w:lineRule="exact"/>
        <w:jc w:val="center"/>
      </w:pPr>
      <w:r>
        <w:rPr>
          <w:b/>
          <w:strike/>
          <w:sz w:val="20"/>
        </w:rPr>
        <w:t>Type + Number of Facilities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1400"/>
        <w:gridCol w:w="1400"/>
        <w:gridCol w:w="1600"/>
        <w:gridCol w:w="1420"/>
        <w:gridCol w:w="1600"/>
      </w:tblGrid>
      <w:tr w:rsidR="00875AE9" w14:paraId="7569F483" w14:textId="77777777">
        <w:trPr>
          <w:cantSplit/>
          <w:tblHeader/>
          <w:jc w:val="center"/>
        </w:trPr>
        <w:tc>
          <w:tcPr>
            <w:tcW w:w="2740" w:type="dxa"/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65FD22F4" w14:textId="77777777" w:rsidR="00875AE9" w:rsidRDefault="00875AE9">
            <w:pPr>
              <w:spacing w:line="0" w:lineRule="atLeast"/>
            </w:pPr>
          </w:p>
        </w:tc>
        <w:tc>
          <w:tcPr>
            <w:tcW w:w="1400" w:type="dxa"/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3B32C993" w14:textId="77777777" w:rsidR="00875AE9" w:rsidRDefault="00051192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Single Swim Pool</w:t>
            </w:r>
          </w:p>
        </w:tc>
        <w:tc>
          <w:tcPr>
            <w:tcW w:w="1400" w:type="dxa"/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266BEB90" w14:textId="77777777" w:rsidR="00875AE9" w:rsidRDefault="00051192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Single Spa Pool</w:t>
            </w:r>
          </w:p>
        </w:tc>
        <w:tc>
          <w:tcPr>
            <w:tcW w:w="1600" w:type="dxa"/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1538C104" w14:textId="77777777" w:rsidR="00875AE9" w:rsidRDefault="00051192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Single Wading Pool</w:t>
            </w:r>
          </w:p>
        </w:tc>
        <w:tc>
          <w:tcPr>
            <w:tcW w:w="1420" w:type="dxa"/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3D5177CB" w14:textId="77777777" w:rsidR="00875AE9" w:rsidRDefault="00051192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Spray Pool or Pools</w:t>
            </w:r>
          </w:p>
        </w:tc>
        <w:tc>
          <w:tcPr>
            <w:tcW w:w="1600" w:type="dxa"/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796D6934" w14:textId="77777777" w:rsidR="00875AE9" w:rsidRDefault="00051192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Each Additional Swim, Spa, or Wading Pool</w:t>
            </w:r>
          </w:p>
        </w:tc>
      </w:tr>
      <w:tr w:rsidR="00875AE9" w14:paraId="2285BC6D" w14:textId="77777777">
        <w:trPr>
          <w:jc w:val="center"/>
        </w:trPr>
        <w:tc>
          <w:tcPr>
            <w:tcW w:w="27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CD632E8" w14:textId="77777777" w:rsidR="00875AE9" w:rsidRDefault="00051192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Operating Permit 0-6 month</w:t>
            </w:r>
          </w:p>
        </w:tc>
        <w:tc>
          <w:tcPr>
            <w:tcW w:w="14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06BEF15" w14:textId="77777777" w:rsidR="00875AE9" w:rsidRDefault="00051192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$ 291.00</w:t>
            </w:r>
          </w:p>
        </w:tc>
        <w:tc>
          <w:tcPr>
            <w:tcW w:w="14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7BFDBC3" w14:textId="77777777" w:rsidR="00875AE9" w:rsidRDefault="00051192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$ 255.00</w:t>
            </w:r>
          </w:p>
        </w:tc>
        <w:tc>
          <w:tcPr>
            <w:tcW w:w="16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65E873A" w14:textId="77777777" w:rsidR="00875AE9" w:rsidRDefault="00051192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$ 211.00</w:t>
            </w:r>
          </w:p>
        </w:tc>
        <w:tc>
          <w:tcPr>
            <w:tcW w:w="1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376AF89" w14:textId="77777777" w:rsidR="00875AE9" w:rsidRDefault="00051192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$ 105.00</w:t>
            </w:r>
          </w:p>
        </w:tc>
        <w:tc>
          <w:tcPr>
            <w:tcW w:w="16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B38F117" w14:textId="77777777" w:rsidR="00875AE9" w:rsidRDefault="00051192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$ 63.00</w:t>
            </w:r>
          </w:p>
        </w:tc>
      </w:tr>
      <w:tr w:rsidR="00875AE9" w14:paraId="070EE169" w14:textId="77777777">
        <w:trPr>
          <w:jc w:val="center"/>
        </w:trPr>
        <w:tc>
          <w:tcPr>
            <w:tcW w:w="27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F9A567E" w14:textId="77777777" w:rsidR="00875AE9" w:rsidRDefault="00051192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Operating Permit 6-12 months</w:t>
            </w:r>
          </w:p>
        </w:tc>
        <w:tc>
          <w:tcPr>
            <w:tcW w:w="14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EF5291E" w14:textId="77777777" w:rsidR="00875AE9" w:rsidRDefault="00051192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$ 477.00</w:t>
            </w:r>
          </w:p>
        </w:tc>
        <w:tc>
          <w:tcPr>
            <w:tcW w:w="14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E373BC9" w14:textId="77777777" w:rsidR="00875AE9" w:rsidRDefault="00051192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$ 424.00</w:t>
            </w:r>
          </w:p>
        </w:tc>
        <w:tc>
          <w:tcPr>
            <w:tcW w:w="16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7FD90B2" w14:textId="77777777" w:rsidR="00875AE9" w:rsidRDefault="00051192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$ 371.00</w:t>
            </w:r>
          </w:p>
        </w:tc>
        <w:tc>
          <w:tcPr>
            <w:tcW w:w="1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5A4CE1C" w14:textId="77777777" w:rsidR="00875AE9" w:rsidRDefault="00051192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$ 159.00</w:t>
            </w:r>
          </w:p>
        </w:tc>
        <w:tc>
          <w:tcPr>
            <w:tcW w:w="16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E83F305" w14:textId="77777777" w:rsidR="00875AE9" w:rsidRDefault="00051192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$ 84.00</w:t>
            </w:r>
          </w:p>
        </w:tc>
      </w:tr>
    </w:tbl>
    <w:p w14:paraId="60EA1D68" w14:textId="77777777" w:rsidR="00875AE9" w:rsidRDefault="00051192">
      <w:pPr>
        <w:spacing w:line="640" w:lineRule="exact"/>
        <w:ind w:firstLine="720"/>
      </w:pPr>
      <w:r>
        <w:rPr>
          <w:strike/>
        </w:rPr>
        <w:t>(3) Other Terms and Conditions:</w:t>
      </w:r>
    </w:p>
    <w:p w14:paraId="10771BB1" w14:textId="77777777" w:rsidR="00875AE9" w:rsidRDefault="00875AE9"/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9080"/>
      </w:tblGrid>
      <w:tr w:rsidR="00875AE9" w14:paraId="014BED9B" w14:textId="77777777">
        <w:trPr>
          <w:jc w:val="center"/>
        </w:trPr>
        <w:tc>
          <w:tcPr>
            <w:tcW w:w="108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46E00E9" w14:textId="77777777" w:rsidR="00875AE9" w:rsidRDefault="00051192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(a)</w:t>
            </w:r>
          </w:p>
        </w:tc>
        <w:tc>
          <w:tcPr>
            <w:tcW w:w="908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B25B98B" w14:textId="77777777" w:rsidR="00875AE9" w:rsidRDefault="00051192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 xml:space="preserve">The department may charge an additional fee of $87 plus associated laboratory costs for any inspections beyond those provided 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under</w:t>
            </w:r>
            <w:proofErr w:type="gramEnd"/>
            <w:r>
              <w:rPr>
                <w:rFonts w:ascii="Times New Roman" w:hAnsi="Times New Roman"/>
                <w:strike/>
                <w:sz w:val="20"/>
              </w:rPr>
              <w:t xml:space="preserve"> the annual operating permit when 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necessary</w:t>
            </w:r>
            <w:proofErr w:type="gramEnd"/>
            <w:r>
              <w:rPr>
                <w:rFonts w:ascii="Times New Roman" w:hAnsi="Times New Roman"/>
                <w:strike/>
                <w:sz w:val="20"/>
              </w:rPr>
              <w:t xml:space="preserve"> due to violations of such items as (a) noncompliance with water quality standards, and (b) failure to comply with operational requirements for health and safety.</w:t>
            </w:r>
          </w:p>
        </w:tc>
      </w:tr>
      <w:tr w:rsidR="00875AE9" w14:paraId="51FCD386" w14:textId="77777777">
        <w:trPr>
          <w:jc w:val="center"/>
        </w:trPr>
        <w:tc>
          <w:tcPr>
            <w:tcW w:w="108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8E6FA32" w14:textId="77777777" w:rsidR="00875AE9" w:rsidRDefault="00051192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(b)</w:t>
            </w:r>
          </w:p>
        </w:tc>
        <w:tc>
          <w:tcPr>
            <w:tcW w:w="908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019346C" w14:textId="77777777" w:rsidR="00875AE9" w:rsidRDefault="00051192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 xml:space="preserve">The department may charge an alternate annual fee for an operating permit based on direct and indirect costs associated with 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issuance</w:t>
            </w:r>
            <w:proofErr w:type="gramEnd"/>
            <w:r>
              <w:rPr>
                <w:rFonts w:ascii="Times New Roman" w:hAnsi="Times New Roman"/>
                <w:strike/>
                <w:sz w:val="20"/>
              </w:rPr>
              <w:t xml:space="preserve"> of the permit when arrangements are made with local health jurisdictions to administer all or portions of the duties associated with the operating permit. 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Except, that</w:t>
            </w:r>
            <w:proofErr w:type="gramEnd"/>
            <w:r>
              <w:rPr>
                <w:rFonts w:ascii="Times New Roman" w:hAnsi="Times New Roman"/>
                <w:strike/>
                <w:sz w:val="20"/>
              </w:rPr>
              <w:t xml:space="preserve"> the fee for this operating permit cannot exceed the cost established by the previous portions of this regulation, but the fee may be less.</w:t>
            </w:r>
          </w:p>
        </w:tc>
      </w:tr>
      <w:tr w:rsidR="00875AE9" w14:paraId="6F56DFD3" w14:textId="77777777">
        <w:trPr>
          <w:jc w:val="center"/>
        </w:trPr>
        <w:tc>
          <w:tcPr>
            <w:tcW w:w="108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B4B8FAC" w14:textId="77777777" w:rsidR="00875AE9" w:rsidRDefault="00051192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(c)</w:t>
            </w:r>
          </w:p>
        </w:tc>
        <w:tc>
          <w:tcPr>
            <w:tcW w:w="908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CD3AB13" w14:textId="77777777" w:rsidR="00875AE9" w:rsidRDefault="00051192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 xml:space="preserve">During the first year of development of the operating permit and for new pool 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facilities built</w:t>
            </w:r>
            <w:proofErr w:type="gramEnd"/>
            <w:r>
              <w:rPr>
                <w:rFonts w:ascii="Times New Roman" w:hAnsi="Times New Roman"/>
                <w:strike/>
                <w:sz w:val="20"/>
              </w:rPr>
              <w:t xml:space="preserve"> hereafter, or pools temporarily closed (significant period of several months) and reopened, there are provisions for prorating the costs for the operating permits.</w:t>
            </w:r>
          </w:p>
        </w:tc>
      </w:tr>
      <w:tr w:rsidR="00875AE9" w14:paraId="0A666A40" w14:textId="77777777">
        <w:trPr>
          <w:jc w:val="center"/>
        </w:trPr>
        <w:tc>
          <w:tcPr>
            <w:tcW w:w="108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2D59F61" w14:textId="77777777" w:rsidR="00875AE9" w:rsidRDefault="00051192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(d)</w:t>
            </w:r>
          </w:p>
        </w:tc>
        <w:tc>
          <w:tcPr>
            <w:tcW w:w="908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85044A7" w14:textId="77777777" w:rsidR="00875AE9" w:rsidRDefault="00051192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A reduction in fees, up to but not exceeding thirty percent, may be granted by the department when a facility operator can demonstrate a satisfactory level of training in pool safety, water quality, maintenance and operations. The department will develop criteria for these fee reductions within six months of the adoption of this regulation.</w:t>
            </w:r>
          </w:p>
        </w:tc>
      </w:tr>
      <w:tr w:rsidR="00875AE9" w14:paraId="6938FFC7" w14:textId="77777777">
        <w:trPr>
          <w:jc w:val="center"/>
        </w:trPr>
        <w:tc>
          <w:tcPr>
            <w:tcW w:w="108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606D9D7" w14:textId="77777777" w:rsidR="00875AE9" w:rsidRDefault="00051192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(e)</w:t>
            </w:r>
          </w:p>
        </w:tc>
        <w:tc>
          <w:tcPr>
            <w:tcW w:w="908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FDFD69D" w14:textId="77777777" w:rsidR="00875AE9" w:rsidRDefault="00051192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 xml:space="preserve">For limited use facilities requiring operating permits which are serving less than fifteen living units, the operating permit shall be fifty percent of the fee. However, the department may charge a reinspection fee if 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necessary</w:t>
            </w:r>
            <w:proofErr w:type="gramEnd"/>
            <w:r>
              <w:rPr>
                <w:rFonts w:ascii="Times New Roman" w:hAnsi="Times New Roman"/>
                <w:strike/>
                <w:sz w:val="20"/>
              </w:rPr>
              <w:t xml:space="preserve"> under (a) of other terms and conditions.</w:t>
            </w:r>
          </w:p>
        </w:tc>
      </w:tr>
      <w:tr w:rsidR="00875AE9" w14:paraId="1E53D1D4" w14:textId="77777777">
        <w:trPr>
          <w:jc w:val="center"/>
        </w:trPr>
        <w:tc>
          <w:tcPr>
            <w:tcW w:w="108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AB95EB7" w14:textId="77777777" w:rsidR="00875AE9" w:rsidRDefault="00051192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(f)</w:t>
            </w:r>
          </w:p>
        </w:tc>
        <w:tc>
          <w:tcPr>
            <w:tcW w:w="908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4738220" w14:textId="77777777" w:rsidR="00875AE9" w:rsidRDefault="00051192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 xml:space="preserve">Fees for multiple facilities at the same physical location shall have a maximum </w:t>
            </w:r>
            <w:r>
              <w:rPr>
                <w:rFonts w:ascii="Times New Roman" w:hAnsi="Times New Roman"/>
                <w:smallCaps/>
                <w:strike/>
                <w:sz w:val="20"/>
              </w:rPr>
              <w:t>fee cap</w:t>
            </w:r>
            <w:r>
              <w:rPr>
                <w:rFonts w:ascii="Times New Roman" w:hAnsi="Times New Roman"/>
                <w:strike/>
                <w:sz w:val="20"/>
              </w:rPr>
              <w:t xml:space="preserve"> as follows: Seasonal (0-6 months) WRF's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:  $</w:t>
            </w:r>
            <w:proofErr w:type="gramEnd"/>
            <w:r>
              <w:rPr>
                <w:rFonts w:ascii="Times New Roman" w:hAnsi="Times New Roman"/>
                <w:strike/>
                <w:sz w:val="20"/>
              </w:rPr>
              <w:t xml:space="preserve">774 </w:t>
            </w:r>
            <w:r>
              <w:rPr>
                <w:rFonts w:ascii="Times New Roman" w:hAnsi="Times New Roman"/>
                <w:smallCaps/>
                <w:strike/>
                <w:sz w:val="20"/>
              </w:rPr>
              <w:t>note:</w:t>
            </w:r>
            <w:r>
              <w:rPr>
                <w:rFonts w:ascii="Times New Roman" w:hAnsi="Times New Roman"/>
                <w:strike/>
                <w:sz w:val="20"/>
              </w:rPr>
              <w:t xml:space="preserve"> The third and subsequent pool/spa at the same location will be charged $51 for each additional pool/spa.</w:t>
            </w:r>
          </w:p>
        </w:tc>
      </w:tr>
      <w:tr w:rsidR="00875AE9" w14:paraId="5F398C05" w14:textId="77777777">
        <w:trPr>
          <w:jc w:val="center"/>
        </w:trPr>
        <w:tc>
          <w:tcPr>
            <w:tcW w:w="108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0A58171" w14:textId="77777777" w:rsidR="00875AE9" w:rsidRDefault="00875AE9">
            <w:pPr>
              <w:spacing w:line="0" w:lineRule="atLeast"/>
            </w:pPr>
          </w:p>
        </w:tc>
        <w:tc>
          <w:tcPr>
            <w:tcW w:w="908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8639435" w14:textId="77777777" w:rsidR="00875AE9" w:rsidRDefault="00051192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 xml:space="preserve">Year around (˃6 months) WRF's $1032 </w:t>
            </w:r>
            <w:r>
              <w:rPr>
                <w:rFonts w:ascii="Times New Roman" w:hAnsi="Times New Roman"/>
                <w:smallCaps/>
                <w:strike/>
                <w:sz w:val="20"/>
              </w:rPr>
              <w:t>note:</w:t>
            </w:r>
            <w:r>
              <w:rPr>
                <w:rFonts w:ascii="Times New Roman" w:hAnsi="Times New Roman"/>
                <w:strike/>
                <w:sz w:val="20"/>
              </w:rPr>
              <w:t xml:space="preserve"> The third and subsequent pool/spa at the same physical location will be charged $67 for each additional pool/spa.</w:t>
            </w:r>
          </w:p>
        </w:tc>
      </w:tr>
    </w:tbl>
    <w:p w14:paraId="3DBD82B2" w14:textId="77777777" w:rsidR="00875AE9" w:rsidRDefault="00051192">
      <w:pPr>
        <w:spacing w:line="640" w:lineRule="exact"/>
        <w:ind w:firstLine="720"/>
      </w:pPr>
      <w:r>
        <w:rPr>
          <w:strike/>
        </w:rPr>
        <w:t>(4) Examples of Fees Charged:</w:t>
      </w:r>
    </w:p>
    <w:p w14:paraId="2A4BA934" w14:textId="77777777" w:rsidR="00875AE9" w:rsidRDefault="00875AE9"/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9080"/>
      </w:tblGrid>
      <w:tr w:rsidR="00875AE9" w14:paraId="0CAA5710" w14:textId="77777777">
        <w:trPr>
          <w:jc w:val="center"/>
        </w:trPr>
        <w:tc>
          <w:tcPr>
            <w:tcW w:w="108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3A6EEC2" w14:textId="77777777" w:rsidR="00875AE9" w:rsidRDefault="00051192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(a)</w:t>
            </w:r>
          </w:p>
        </w:tc>
        <w:tc>
          <w:tcPr>
            <w:tcW w:w="908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6224B2A" w14:textId="77777777" w:rsidR="00875AE9" w:rsidRDefault="00051192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If more than one pool at a facility and one is a year-round pool and another is a seasonal pool—year-round pool is base cost, seasonal pool is charged at additional fee charge. For example: Year-round spa = $424 plus seasonal swimming pool is $63 = $487 total operating permits.</w:t>
            </w:r>
          </w:p>
        </w:tc>
      </w:tr>
      <w:tr w:rsidR="00875AE9" w14:paraId="227134E2" w14:textId="77777777">
        <w:trPr>
          <w:jc w:val="center"/>
        </w:trPr>
        <w:tc>
          <w:tcPr>
            <w:tcW w:w="108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DDABB41" w14:textId="77777777" w:rsidR="00875AE9" w:rsidRDefault="00051192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(b)</w:t>
            </w:r>
          </w:p>
        </w:tc>
        <w:tc>
          <w:tcPr>
            <w:tcW w:w="908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B4EA087" w14:textId="77777777" w:rsidR="00875AE9" w:rsidRDefault="00051192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 xml:space="preserve">If a single swimming pool and a single spa pool 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is</w:t>
            </w:r>
            <w:proofErr w:type="gramEnd"/>
            <w:r>
              <w:rPr>
                <w:rFonts w:ascii="Times New Roman" w:hAnsi="Times New Roman"/>
                <w:strike/>
                <w:sz w:val="20"/>
              </w:rPr>
              <w:t xml:space="preserve"> used at the facility, the fee schedule will include fees as noted. For a 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0-6 month</w:t>
            </w:r>
            <w:proofErr w:type="gramEnd"/>
            <w:r>
              <w:rPr>
                <w:rFonts w:ascii="Times New Roman" w:hAnsi="Times New Roman"/>
                <w:strike/>
                <w:sz w:val="20"/>
              </w:rPr>
              <w:t xml:space="preserve"> permit, the primary fee for the single swimming would be $291 and the spa pool would be viewed as the second pool at the facility and would have a fee of $63, total operating permit fees would be $354.</w:t>
            </w:r>
          </w:p>
        </w:tc>
      </w:tr>
      <w:tr w:rsidR="00875AE9" w14:paraId="21F9D417" w14:textId="77777777">
        <w:trPr>
          <w:jc w:val="center"/>
        </w:trPr>
        <w:tc>
          <w:tcPr>
            <w:tcW w:w="108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C0693C5" w14:textId="77777777" w:rsidR="00875AE9" w:rsidRDefault="00051192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(c)</w:t>
            </w:r>
          </w:p>
        </w:tc>
        <w:tc>
          <w:tcPr>
            <w:tcW w:w="908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35FEC51" w14:textId="77777777" w:rsidR="00875AE9" w:rsidRDefault="00051192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 xml:space="preserve">If there are 12 pools/spas at a single year-around pool facility, the </w:t>
            </w:r>
            <w:r>
              <w:rPr>
                <w:rFonts w:ascii="Times New Roman" w:hAnsi="Times New Roman"/>
                <w:smallCaps/>
                <w:strike/>
                <w:sz w:val="20"/>
              </w:rPr>
              <w:t>fee cap</w:t>
            </w:r>
            <w:r>
              <w:rPr>
                <w:rFonts w:ascii="Times New Roman" w:hAnsi="Times New Roman"/>
                <w:strike/>
                <w:sz w:val="20"/>
              </w:rPr>
              <w:t xml:space="preserve"> would apply and the maximum fee of </w:t>
            </w:r>
            <w:r>
              <w:rPr>
                <w:rFonts w:ascii="Times New Roman" w:hAnsi="Times New Roman"/>
                <w:strike/>
                <w:sz w:val="20"/>
              </w:rPr>
              <w:lastRenderedPageBreak/>
              <w:t xml:space="preserve">$1032 would be charged. ($477 base fee, $84 for first additional pool/spa, $67 for the remaining ten year-around pools/spas (10 x $67 = $670)) Total fee before fee cap = $477 + $84 + $670 = $1231. After </w:t>
            </w:r>
            <w:r>
              <w:rPr>
                <w:rFonts w:ascii="Times New Roman" w:hAnsi="Times New Roman"/>
                <w:smallCaps/>
                <w:strike/>
                <w:sz w:val="20"/>
              </w:rPr>
              <w:t>fee cap</w:t>
            </w:r>
            <w:r>
              <w:rPr>
                <w:rFonts w:ascii="Times New Roman" w:hAnsi="Times New Roman"/>
                <w:strike/>
                <w:sz w:val="20"/>
              </w:rPr>
              <w:t xml:space="preserve"> the total fee = $1032. If approved training were credited to this facility for the maximum 30% discount, 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the 30</w:t>
            </w:r>
            <w:proofErr w:type="gramEnd"/>
            <w:r>
              <w:rPr>
                <w:rFonts w:ascii="Times New Roman" w:hAnsi="Times New Roman"/>
                <w:strike/>
                <w:sz w:val="20"/>
              </w:rPr>
              <w:t xml:space="preserve">% would be applied to the </w:t>
            </w:r>
            <w:r>
              <w:rPr>
                <w:rFonts w:ascii="Times New Roman" w:hAnsi="Times New Roman"/>
                <w:smallCaps/>
                <w:strike/>
                <w:sz w:val="20"/>
              </w:rPr>
              <w:t>fee cap</w:t>
            </w:r>
            <w:r>
              <w:rPr>
                <w:rFonts w:ascii="Times New Roman" w:hAnsi="Times New Roman"/>
                <w:strike/>
                <w:sz w:val="20"/>
              </w:rPr>
              <w:t xml:space="preserve"> fee of $1032; $1032 - 30% = $723.</w:t>
            </w:r>
            <w:r>
              <w:t>))</w:t>
            </w:r>
          </w:p>
        </w:tc>
      </w:tr>
    </w:tbl>
    <w:p w14:paraId="084A4914" w14:textId="77777777" w:rsidR="00875AE9" w:rsidRDefault="00051192">
      <w:pPr>
        <w:spacing w:line="640" w:lineRule="exact"/>
        <w:ind w:firstLine="720"/>
      </w:pPr>
      <w:r>
        <w:rPr>
          <w:u w:val="single"/>
        </w:rPr>
        <w:lastRenderedPageBreak/>
        <w:t>(3) The department shall charge the following fees for operating permits: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  <w:gridCol w:w="3100"/>
        <w:gridCol w:w="3300"/>
      </w:tblGrid>
      <w:tr w:rsidR="00875AE9" w14:paraId="31842E75" w14:textId="77777777">
        <w:trPr>
          <w:jc w:val="center"/>
        </w:trPr>
        <w:tc>
          <w:tcPr>
            <w:tcW w:w="37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4E24C20" w14:textId="77777777" w:rsidR="00875AE9" w:rsidRDefault="00875AE9">
            <w:pPr>
              <w:spacing w:line="0" w:lineRule="atLeast"/>
            </w:pPr>
          </w:p>
        </w:tc>
        <w:tc>
          <w:tcPr>
            <w:tcW w:w="3100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188F2285" w14:textId="77777777" w:rsidR="00875AE9" w:rsidRDefault="00051192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Single Swim, Spa, Spray,</w:t>
            </w:r>
          </w:p>
          <w:p w14:paraId="462C1950" w14:textId="77777777" w:rsidR="00875AE9" w:rsidRDefault="00051192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or Wading Pool</w:t>
            </w:r>
          </w:p>
        </w:tc>
        <w:tc>
          <w:tcPr>
            <w:tcW w:w="3300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24D3F977" w14:textId="77777777" w:rsidR="00875AE9" w:rsidRDefault="00051192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Each Additional Swim, Spa,</w:t>
            </w:r>
          </w:p>
          <w:p w14:paraId="7316172E" w14:textId="77777777" w:rsidR="00875AE9" w:rsidRDefault="00051192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Spray, or Wading Pool</w:t>
            </w:r>
          </w:p>
        </w:tc>
      </w:tr>
      <w:tr w:rsidR="00875AE9" w14:paraId="23783E2B" w14:textId="77777777">
        <w:trPr>
          <w:jc w:val="center"/>
        </w:trPr>
        <w:tc>
          <w:tcPr>
            <w:tcW w:w="3760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6F703F7" w14:textId="77777777" w:rsidR="00875AE9" w:rsidRDefault="00051192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Operating Permit less than 6 months</w:t>
            </w:r>
          </w:p>
        </w:tc>
        <w:tc>
          <w:tcPr>
            <w:tcW w:w="31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D5FDCD1" w14:textId="77777777" w:rsidR="00875AE9" w:rsidRDefault="00051192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$1,509</w:t>
            </w:r>
          </w:p>
        </w:tc>
        <w:tc>
          <w:tcPr>
            <w:tcW w:w="3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1A71FB6" w14:textId="77777777" w:rsidR="00875AE9" w:rsidRDefault="00051192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$441</w:t>
            </w:r>
          </w:p>
        </w:tc>
      </w:tr>
      <w:tr w:rsidR="00875AE9" w14:paraId="2010998B" w14:textId="77777777">
        <w:trPr>
          <w:jc w:val="center"/>
        </w:trPr>
        <w:tc>
          <w:tcPr>
            <w:tcW w:w="3760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6F5C22C" w14:textId="77777777" w:rsidR="00875AE9" w:rsidRDefault="00051192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Operating Permit 6-12 months</w:t>
            </w:r>
          </w:p>
        </w:tc>
        <w:tc>
          <w:tcPr>
            <w:tcW w:w="31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D2707EC" w14:textId="77777777" w:rsidR="00875AE9" w:rsidRDefault="00051192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$2,504</w:t>
            </w:r>
          </w:p>
        </w:tc>
        <w:tc>
          <w:tcPr>
            <w:tcW w:w="3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D67BED4" w14:textId="77777777" w:rsidR="00875AE9" w:rsidRDefault="00051192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$588</w:t>
            </w:r>
          </w:p>
        </w:tc>
      </w:tr>
    </w:tbl>
    <w:p w14:paraId="37DF2AC2" w14:textId="77777777" w:rsidR="00875AE9" w:rsidRDefault="00051192">
      <w:pPr>
        <w:spacing w:line="640" w:lineRule="exact"/>
        <w:ind w:firstLine="720"/>
      </w:pPr>
      <w:r>
        <w:rPr>
          <w:u w:val="single"/>
        </w:rPr>
        <w:t xml:space="preserve">(4) The department may charge an additional fee of $609 for each additional on-site inspection beyond those provided under the annual operating permit when </w:t>
      </w:r>
      <w:proofErr w:type="gramStart"/>
      <w:r>
        <w:rPr>
          <w:u w:val="single"/>
        </w:rPr>
        <w:t>necessary</w:t>
      </w:r>
      <w:proofErr w:type="gramEnd"/>
      <w:r>
        <w:rPr>
          <w:u w:val="single"/>
        </w:rPr>
        <w:t xml:space="preserve"> including, but not limited to, the following:</w:t>
      </w:r>
    </w:p>
    <w:p w14:paraId="07783656" w14:textId="77777777" w:rsidR="00875AE9" w:rsidRDefault="00051192">
      <w:pPr>
        <w:spacing w:line="640" w:lineRule="exact"/>
        <w:ind w:firstLine="720"/>
      </w:pPr>
      <w:r>
        <w:rPr>
          <w:u w:val="single"/>
        </w:rPr>
        <w:t xml:space="preserve">(a) Noncompliance with water quality </w:t>
      </w:r>
      <w:proofErr w:type="gramStart"/>
      <w:r>
        <w:rPr>
          <w:u w:val="single"/>
        </w:rPr>
        <w:t>standards;</w:t>
      </w:r>
      <w:proofErr w:type="gramEnd"/>
    </w:p>
    <w:p w14:paraId="29C93D43" w14:textId="77777777" w:rsidR="00875AE9" w:rsidRDefault="00051192">
      <w:pPr>
        <w:spacing w:line="640" w:lineRule="exact"/>
        <w:ind w:firstLine="720"/>
      </w:pPr>
      <w:r>
        <w:rPr>
          <w:u w:val="single"/>
        </w:rPr>
        <w:t xml:space="preserve">(b) Failure to comply with operational requirements for health and </w:t>
      </w:r>
      <w:proofErr w:type="gramStart"/>
      <w:r>
        <w:rPr>
          <w:u w:val="single"/>
        </w:rPr>
        <w:t>safety;</w:t>
      </w:r>
      <w:proofErr w:type="gramEnd"/>
    </w:p>
    <w:p w14:paraId="283FF9C6" w14:textId="77777777" w:rsidR="00875AE9" w:rsidRDefault="00051192">
      <w:pPr>
        <w:spacing w:line="640" w:lineRule="exact"/>
        <w:ind w:firstLine="720"/>
      </w:pPr>
      <w:r>
        <w:rPr>
          <w:u w:val="single"/>
        </w:rPr>
        <w:t xml:space="preserve">(c) Monitoring pools </w:t>
      </w:r>
      <w:proofErr w:type="gramStart"/>
      <w:r>
        <w:rPr>
          <w:u w:val="single"/>
        </w:rPr>
        <w:t>closed</w:t>
      </w:r>
      <w:proofErr w:type="gramEnd"/>
      <w:r>
        <w:rPr>
          <w:u w:val="single"/>
        </w:rPr>
        <w:t xml:space="preserve"> longer than 12 consecutive months that have not yet been backfilled or demolished; or</w:t>
      </w:r>
    </w:p>
    <w:p w14:paraId="395DF0E1" w14:textId="77777777" w:rsidR="00875AE9" w:rsidRDefault="00051192">
      <w:pPr>
        <w:spacing w:line="640" w:lineRule="exact"/>
        <w:ind w:firstLine="720"/>
      </w:pPr>
      <w:r>
        <w:rPr>
          <w:u w:val="single"/>
        </w:rPr>
        <w:t>(d) Return visits for missing a scheduled appointment time.</w:t>
      </w:r>
    </w:p>
    <w:p w14:paraId="63EEBA4F" w14:textId="77777777" w:rsidR="00875AE9" w:rsidRDefault="00051192">
      <w:pPr>
        <w:spacing w:line="640" w:lineRule="exact"/>
        <w:ind w:firstLine="720"/>
      </w:pPr>
      <w:r>
        <w:rPr>
          <w:u w:val="single"/>
        </w:rPr>
        <w:t>(5) For a facility operating without a permit, the facility shall pay the applicable operating permit fee listed in subsection (3) of this section plus the fee listed in subsection (4) of this section.</w:t>
      </w:r>
    </w:p>
    <w:p w14:paraId="586E48FB" w14:textId="77777777" w:rsidR="00875AE9" w:rsidRDefault="00051192">
      <w:pPr>
        <w:spacing w:line="640" w:lineRule="exact"/>
      </w:pPr>
      <w:r>
        <w:t xml:space="preserve">[Statutory Authority: RCW 70.90.150. WSR 06-16-120, § 246-260-9901, filed 8/1/06, effective 9/1/06. Statutory Authority: RCW 70.90.150 and </w:t>
      </w:r>
      <w:r>
        <w:lastRenderedPageBreak/>
        <w:t>43.20B.250. WSR 03-14-146, § 246-260-9901, filed 7/2/03, effective 8/2/03. Statutory Authority: RCW 43.70.250, 70.90.150, and 43.20B.250. WSR 01-14-047, § 246-260-9901, filed 6/29/01, effective 7/30/01. Statutory Authority: RCW 70.90.150 and 43.20B.020. WSR 94-11-056, § 246-260-9901, filed 5/11/94, effective 6/11/94.]</w:t>
      </w:r>
    </w:p>
    <w:sectPr w:rsidR="00875AE9">
      <w:footerReference w:type="default" r:id="rId9"/>
      <w:pgSz w:w="12240" w:h="15840"/>
      <w:pgMar w:top="1080" w:right="1037" w:bottom="1080" w:left="103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23501" w14:textId="77777777" w:rsidR="00051192" w:rsidRDefault="00051192">
      <w:r>
        <w:separator/>
      </w:r>
    </w:p>
  </w:endnote>
  <w:endnote w:type="continuationSeparator" w:id="0">
    <w:p w14:paraId="1AB63FD4" w14:textId="77777777" w:rsidR="00051192" w:rsidRDefault="0005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579F8" w14:textId="77777777" w:rsidR="00051192" w:rsidRDefault="00051192">
    <w:pPr>
      <w:tabs>
        <w:tab w:val="center" w:pos="4968"/>
        <w:tab w:val="right" w:pos="9936"/>
      </w:tabs>
    </w:pPr>
    <w:r>
      <w:t>7/03/2025 01:31 PM</w:t>
    </w:r>
    <w:r>
      <w:tab/>
      <w:t xml:space="preserve">[ </w:t>
    </w:r>
    <w:r>
      <w:fldChar w:fldCharType="begin"/>
    </w:r>
    <w:r>
      <w:instrText>PAGE  \* Arabic  \* MERGEFORMAT</w:instrText>
    </w:r>
    <w:r>
      <w:fldChar w:fldCharType="separate"/>
    </w:r>
    <w:r>
      <w:t>1</w:t>
    </w:r>
    <w:r>
      <w:rPr>
        <w:b/>
      </w:rPr>
      <w:fldChar w:fldCharType="end"/>
    </w:r>
    <w:r>
      <w:t xml:space="preserve"> ]</w:t>
    </w:r>
    <w:r>
      <w:tab/>
      <w:t>NOT FOR FILING RDS-6496.1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43FD3" w14:textId="77777777" w:rsidR="00051192" w:rsidRDefault="00051192">
      <w:r>
        <w:separator/>
      </w:r>
    </w:p>
  </w:footnote>
  <w:footnote w:type="continuationSeparator" w:id="0">
    <w:p w14:paraId="6F668118" w14:textId="77777777" w:rsidR="00051192" w:rsidRDefault="00051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AE9"/>
    <w:rsid w:val="00051192"/>
    <w:rsid w:val="00616858"/>
    <w:rsid w:val="00617B5F"/>
    <w:rsid w:val="00875AE9"/>
    <w:rsid w:val="00D9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BFE60"/>
  <w15:docId w15:val="{6E86AC66-35AF-403A-B8AF-C8147F91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60FE9E72A0B46B2C2F3CF131C5189" ma:contentTypeVersion="16" ma:contentTypeDescription="Create a new document." ma:contentTypeScope="" ma:versionID="7dbb0df0f1324079d78bac50efb952d6">
  <xsd:schema xmlns:xsd="http://www.w3.org/2001/XMLSchema" xmlns:xs="http://www.w3.org/2001/XMLSchema" xmlns:p="http://schemas.microsoft.com/office/2006/metadata/properties" xmlns:ns1="http://schemas.microsoft.com/sharepoint/v3" xmlns:ns2="19481a70-35b0-4b8b-a7ee-b612235177f8" xmlns:ns3="a3bc4ead-81a3-429b-b226-64c90ab4827f" targetNamespace="http://schemas.microsoft.com/office/2006/metadata/properties" ma:root="true" ma:fieldsID="4b05769fd710c423381e4c40fb6eab90" ns1:_="" ns2:_="" ns3:_="">
    <xsd:import namespace="http://schemas.microsoft.com/sharepoint/v3"/>
    <xsd:import namespace="19481a70-35b0-4b8b-a7ee-b612235177f8"/>
    <xsd:import namespace="a3bc4ead-81a3-429b-b226-64c90ab48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81a70-35b0-4b8b-a7ee-b6122351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c4ead-81a3-429b-b226-64c90ab48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91fba4-8a6d-4091-9126-48be3248adc1}" ma:internalName="TaxCatchAll" ma:showField="CatchAllData" ma:web="a3bc4ead-81a3-429b-b226-64c90ab482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3bc4ead-81a3-429b-b226-64c90ab4827f" xsi:nil="true"/>
    <_ip_UnifiedCompliancePolicyProperties xmlns="http://schemas.microsoft.com/sharepoint/v3" xsi:nil="true"/>
    <lcf76f155ced4ddcb4097134ff3c332f xmlns="19481a70-35b0-4b8b-a7ee-b612235177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9A7A79-1ADC-4F6B-A45E-DDB428351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81a70-35b0-4b8b-a7ee-b612235177f8"/>
    <ds:schemaRef ds:uri="a3bc4ead-81a3-429b-b226-64c90ab48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DB62CB-3DFA-4119-B832-276D6E062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E863DC-933E-469F-995F-325DAB0EC4B2}">
  <ds:schemaRefs>
    <ds:schemaRef ds:uri="http://schemas.microsoft.com/sharepoint/v3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3bc4ead-81a3-429b-b226-64c90ab4827f"/>
    <ds:schemaRef ds:uri="19481a70-35b0-4b8b-a7ee-b612235177f8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1110</Words>
  <Characters>6330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OEHS Rulemaking - Water Rec Fees WAC 246-260-9901</vt:lpstr>
    </vt:vector>
  </TitlesOfParts>
  <Company>Washington State Department of Health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OEHS Rulemaking - Water Rec Fees WAC 246-260-9901</dc:title>
  <dc:creator>Washington State Department of Health</dc:creator>
  <cp:lastModifiedBy>Hamilton, Ben  (DOH)</cp:lastModifiedBy>
  <cp:revision>2</cp:revision>
  <dcterms:created xsi:type="dcterms:W3CDTF">2025-07-11T18:39:00Z</dcterms:created>
  <dcterms:modified xsi:type="dcterms:W3CDTF">2025-07-11T18:39:00Z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0x0101008AA60FE9E72A0B46B2C2F3CF131C5189</vt:lpwstr>
  </property>
</Properties>
</file>