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6269E" w14:textId="77777777" w:rsidR="00FD257A" w:rsidRPr="00B60AAD" w:rsidRDefault="00FD257A" w:rsidP="002E270F">
      <w:pPr>
        <w:pStyle w:val="NoSpacing"/>
        <w:rPr>
          <w:b/>
          <w:bCs/>
          <w:sz w:val="24"/>
          <w:szCs w:val="24"/>
        </w:rPr>
      </w:pPr>
      <w:bookmarkStart w:id="0" w:name="_Hlk202260806"/>
      <w:bookmarkEnd w:id="0"/>
      <w:r w:rsidRPr="00B60AAD">
        <w:rPr>
          <w:b/>
          <w:bCs/>
          <w:sz w:val="24"/>
          <w:szCs w:val="24"/>
        </w:rPr>
        <w:t>Economic Impact Analysis Fee Adjustment Report</w:t>
      </w:r>
    </w:p>
    <w:p w14:paraId="1102F935" w14:textId="3F4D7079" w:rsidR="00FD257A" w:rsidRPr="00B60AAD" w:rsidRDefault="00FD257A" w:rsidP="002E270F">
      <w:pPr>
        <w:pStyle w:val="NoSpacing"/>
        <w:rPr>
          <w:b/>
          <w:bCs/>
          <w:sz w:val="24"/>
          <w:szCs w:val="24"/>
        </w:rPr>
      </w:pPr>
      <w:r w:rsidRPr="00B60AAD">
        <w:rPr>
          <w:b/>
          <w:bCs/>
          <w:sz w:val="24"/>
          <w:szCs w:val="24"/>
        </w:rPr>
        <w:t xml:space="preserve">Office of </w:t>
      </w:r>
      <w:r w:rsidR="00F4428F">
        <w:rPr>
          <w:b/>
          <w:bCs/>
          <w:sz w:val="24"/>
          <w:szCs w:val="24"/>
        </w:rPr>
        <w:t>Radiation Protection</w:t>
      </w:r>
      <w:r w:rsidR="005F5460">
        <w:rPr>
          <w:b/>
          <w:bCs/>
          <w:sz w:val="24"/>
          <w:szCs w:val="24"/>
        </w:rPr>
        <w:t xml:space="preserve"> </w:t>
      </w:r>
    </w:p>
    <w:p w14:paraId="2D7AE26A" w14:textId="6684C41E" w:rsidR="00FD257A" w:rsidRPr="00B60AAD" w:rsidRDefault="005F5460" w:rsidP="002E270F">
      <w:pPr>
        <w:pStyle w:val="NoSpacing"/>
        <w:rPr>
          <w:b/>
          <w:bCs/>
          <w:sz w:val="24"/>
          <w:szCs w:val="24"/>
        </w:rPr>
      </w:pPr>
      <w:r>
        <w:rPr>
          <w:b/>
          <w:bCs/>
          <w:sz w:val="24"/>
          <w:szCs w:val="24"/>
        </w:rPr>
        <w:t>July 2025</w:t>
      </w:r>
    </w:p>
    <w:sdt>
      <w:sdtPr>
        <w:rPr>
          <w:rFonts w:ascii="Calibri" w:eastAsia="Times New Roman" w:hAnsi="Calibri" w:cs="Calibri"/>
          <w:color w:val="000000"/>
          <w:kern w:val="28"/>
          <w:sz w:val="20"/>
          <w:szCs w:val="20"/>
          <w14:ligatures w14:val="standard"/>
          <w14:cntxtAlts/>
        </w:rPr>
        <w:id w:val="1743686027"/>
        <w:docPartObj>
          <w:docPartGallery w:val="Table of Contents"/>
          <w:docPartUnique/>
        </w:docPartObj>
      </w:sdtPr>
      <w:sdtEndPr/>
      <w:sdtContent>
        <w:p w14:paraId="489234EC" w14:textId="2AD6DF57" w:rsidR="002E270F" w:rsidRPr="00B60AAD" w:rsidRDefault="71E842CA">
          <w:pPr>
            <w:pStyle w:val="TOCHeading"/>
            <w:rPr>
              <w:sz w:val="28"/>
              <w:szCs w:val="28"/>
            </w:rPr>
          </w:pPr>
          <w:r w:rsidRPr="4C1C12C1">
            <w:rPr>
              <w:sz w:val="28"/>
              <w:szCs w:val="28"/>
            </w:rPr>
            <w:t>Contents</w:t>
          </w:r>
        </w:p>
        <w:p w14:paraId="73D0DE34" w14:textId="30893AD9" w:rsidR="002E06ED" w:rsidRDefault="009E38FA">
          <w:pPr>
            <w:pStyle w:val="TOC1"/>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r>
            <w:fldChar w:fldCharType="begin"/>
          </w:r>
          <w:r w:rsidR="002E270F">
            <w:instrText>TOC \o "1-3" \z \u \h</w:instrText>
          </w:r>
          <w:r>
            <w:fldChar w:fldCharType="separate"/>
          </w:r>
          <w:hyperlink w:anchor="_Toc202861535" w:history="1">
            <w:r w:rsidR="002E06ED" w:rsidRPr="004B0997">
              <w:rPr>
                <w:rStyle w:val="Hyperlink"/>
                <w:noProof/>
              </w:rPr>
              <w:t>WAC 246-254-030,070,080,090,100 &amp; 120, Radioactive Materials Program</w:t>
            </w:r>
            <w:r w:rsidR="002E06ED">
              <w:rPr>
                <w:noProof/>
                <w:webHidden/>
              </w:rPr>
              <w:tab/>
            </w:r>
            <w:r w:rsidR="002E06ED">
              <w:rPr>
                <w:noProof/>
                <w:webHidden/>
              </w:rPr>
              <w:fldChar w:fldCharType="begin"/>
            </w:r>
            <w:r w:rsidR="002E06ED">
              <w:rPr>
                <w:noProof/>
                <w:webHidden/>
              </w:rPr>
              <w:instrText xml:space="preserve"> PAGEREF _Toc202861535 \h </w:instrText>
            </w:r>
            <w:r w:rsidR="002E06ED">
              <w:rPr>
                <w:noProof/>
                <w:webHidden/>
              </w:rPr>
            </w:r>
            <w:r w:rsidR="002E06ED">
              <w:rPr>
                <w:noProof/>
                <w:webHidden/>
              </w:rPr>
              <w:fldChar w:fldCharType="separate"/>
            </w:r>
            <w:r w:rsidR="002E06ED">
              <w:rPr>
                <w:noProof/>
                <w:webHidden/>
              </w:rPr>
              <w:t>2</w:t>
            </w:r>
            <w:r w:rsidR="002E06ED">
              <w:rPr>
                <w:noProof/>
                <w:webHidden/>
              </w:rPr>
              <w:fldChar w:fldCharType="end"/>
            </w:r>
          </w:hyperlink>
        </w:p>
        <w:p w14:paraId="2EE95765" w14:textId="63BC9AFB" w:rsidR="002E06ED" w:rsidRDefault="002E06ED">
          <w:pPr>
            <w:pStyle w:val="TOC1"/>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202861536" w:history="1">
            <w:r w:rsidRPr="004B0997">
              <w:rPr>
                <w:rStyle w:val="Hyperlink"/>
                <w:noProof/>
              </w:rPr>
              <w:t>WAC 246-254-130, 140 &amp; 150, Radioactive Waste Site Surveillance Program</w:t>
            </w:r>
            <w:r>
              <w:rPr>
                <w:noProof/>
                <w:webHidden/>
              </w:rPr>
              <w:tab/>
            </w:r>
            <w:r>
              <w:rPr>
                <w:noProof/>
                <w:webHidden/>
              </w:rPr>
              <w:fldChar w:fldCharType="begin"/>
            </w:r>
            <w:r>
              <w:rPr>
                <w:noProof/>
                <w:webHidden/>
              </w:rPr>
              <w:instrText xml:space="preserve"> PAGEREF _Toc202861536 \h </w:instrText>
            </w:r>
            <w:r>
              <w:rPr>
                <w:noProof/>
                <w:webHidden/>
              </w:rPr>
            </w:r>
            <w:r>
              <w:rPr>
                <w:noProof/>
                <w:webHidden/>
              </w:rPr>
              <w:fldChar w:fldCharType="separate"/>
            </w:r>
            <w:r>
              <w:rPr>
                <w:noProof/>
                <w:webHidden/>
              </w:rPr>
              <w:t>8</w:t>
            </w:r>
            <w:r>
              <w:rPr>
                <w:noProof/>
                <w:webHidden/>
              </w:rPr>
              <w:fldChar w:fldCharType="end"/>
            </w:r>
          </w:hyperlink>
        </w:p>
        <w:p w14:paraId="48CA83C0" w14:textId="6E01AF45" w:rsidR="002E06ED" w:rsidRDefault="002E06ED">
          <w:pPr>
            <w:pStyle w:val="TOC1"/>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202861537" w:history="1">
            <w:r w:rsidRPr="004B0997">
              <w:rPr>
                <w:rStyle w:val="Hyperlink"/>
                <w:noProof/>
              </w:rPr>
              <w:t>WAC 246-254-053, X-Ray Machine Facility Program</w:t>
            </w:r>
            <w:r>
              <w:rPr>
                <w:noProof/>
                <w:webHidden/>
              </w:rPr>
              <w:tab/>
            </w:r>
            <w:r>
              <w:rPr>
                <w:noProof/>
                <w:webHidden/>
              </w:rPr>
              <w:fldChar w:fldCharType="begin"/>
            </w:r>
            <w:r>
              <w:rPr>
                <w:noProof/>
                <w:webHidden/>
              </w:rPr>
              <w:instrText xml:space="preserve"> PAGEREF _Toc202861537 \h </w:instrText>
            </w:r>
            <w:r>
              <w:rPr>
                <w:noProof/>
                <w:webHidden/>
              </w:rPr>
            </w:r>
            <w:r>
              <w:rPr>
                <w:noProof/>
                <w:webHidden/>
              </w:rPr>
              <w:fldChar w:fldCharType="separate"/>
            </w:r>
            <w:r>
              <w:rPr>
                <w:noProof/>
                <w:webHidden/>
              </w:rPr>
              <w:t>12</w:t>
            </w:r>
            <w:r>
              <w:rPr>
                <w:noProof/>
                <w:webHidden/>
              </w:rPr>
              <w:fldChar w:fldCharType="end"/>
            </w:r>
          </w:hyperlink>
        </w:p>
        <w:p w14:paraId="2923F083" w14:textId="1C2D3039" w:rsidR="009E38FA" w:rsidRDefault="009E38FA" w:rsidP="4C1C12C1">
          <w:pPr>
            <w:pStyle w:val="TOC1"/>
            <w:tabs>
              <w:tab w:val="right" w:leader="dot" w:pos="9345"/>
            </w:tabs>
            <w:rPr>
              <w:rStyle w:val="Hyperlink"/>
              <w:noProof/>
              <w:kern w:val="2"/>
              <w14:ligatures w14:val="standardContextual"/>
              <w14:cntxtAlts w14:val="0"/>
            </w:rPr>
          </w:pPr>
          <w:r>
            <w:fldChar w:fldCharType="end"/>
          </w:r>
        </w:p>
      </w:sdtContent>
    </w:sdt>
    <w:p w14:paraId="2C0528D6" w14:textId="400CF174" w:rsidR="002E270F" w:rsidRDefault="002E270F"/>
    <w:p w14:paraId="410D90F1" w14:textId="77777777" w:rsidR="00FD257A" w:rsidRPr="00A20B08" w:rsidRDefault="00FD257A" w:rsidP="00FD257A">
      <w:pPr>
        <w:pStyle w:val="Heading2"/>
        <w:spacing w:after="0" w:line="286" w:lineRule="auto"/>
        <w:mirrorIndents/>
        <w:rPr>
          <w:rFonts w:ascii="Times New Roman" w:hAnsi="Times New Roman"/>
          <w:color w:val="auto"/>
          <w:sz w:val="24"/>
          <w:szCs w:val="24"/>
        </w:rPr>
      </w:pPr>
    </w:p>
    <w:p w14:paraId="2F8284C3" w14:textId="77777777" w:rsidR="009C400E" w:rsidRDefault="009C400E">
      <w:pPr>
        <w:spacing w:after="160" w:line="259" w:lineRule="auto"/>
        <w:rPr>
          <w:rFonts w:ascii="Times New Roman" w:hAnsi="Times New Roman" w:cs="Times New Roman"/>
          <w:b/>
          <w:bCs/>
          <w:color w:val="auto"/>
          <w:sz w:val="24"/>
          <w:szCs w:val="24"/>
        </w:rPr>
      </w:pPr>
      <w:r>
        <w:rPr>
          <w:rFonts w:ascii="Times New Roman" w:hAnsi="Times New Roman"/>
          <w:color w:val="auto"/>
          <w:sz w:val="24"/>
          <w:szCs w:val="24"/>
        </w:rPr>
        <w:br w:type="page"/>
      </w:r>
    </w:p>
    <w:p w14:paraId="4463490B" w14:textId="201A94C8" w:rsidR="002E270F" w:rsidRPr="00FD257A" w:rsidRDefault="71E842CA" w:rsidP="002E270F">
      <w:pPr>
        <w:pStyle w:val="Heading1"/>
        <w:spacing w:before="0"/>
      </w:pPr>
      <w:bookmarkStart w:id="1" w:name="_Toc202861535"/>
      <w:r>
        <w:lastRenderedPageBreak/>
        <w:t>WAC 246-</w:t>
      </w:r>
      <w:r w:rsidR="00744080">
        <w:t>254-030,070,080,090,100 &amp; 120</w:t>
      </w:r>
      <w:r>
        <w:t xml:space="preserve">, </w:t>
      </w:r>
      <w:r w:rsidR="00744080">
        <w:t>Radioactive Materials Program</w:t>
      </w:r>
      <w:bookmarkEnd w:id="1"/>
    </w:p>
    <w:p w14:paraId="2102A57B" w14:textId="77777777" w:rsidR="00A20B08" w:rsidRPr="00714061" w:rsidRDefault="00A20B08" w:rsidP="006A5BBE">
      <w:pPr>
        <w:pStyle w:val="Heading2"/>
        <w:spacing w:after="0" w:line="286" w:lineRule="auto"/>
        <w:mirrorIndents/>
        <w:rPr>
          <w:rFonts w:ascii="Times New Roman" w:hAnsi="Times New Roman"/>
          <w:b w:val="0"/>
          <w:bCs w:val="0"/>
          <w:color w:val="auto"/>
          <w:sz w:val="16"/>
          <w:szCs w:val="16"/>
        </w:rPr>
      </w:pPr>
    </w:p>
    <w:p w14:paraId="12F8E807" w14:textId="33133A54" w:rsidR="00A20B08" w:rsidRPr="00933216" w:rsidRDefault="00A20B08" w:rsidP="006A5BBE">
      <w:pPr>
        <w:spacing w:after="0"/>
        <w:rPr>
          <w:b/>
          <w:bCs/>
          <w:sz w:val="24"/>
          <w:szCs w:val="24"/>
        </w:rPr>
      </w:pPr>
      <w:r w:rsidRPr="00933216">
        <w:rPr>
          <w:b/>
          <w:bCs/>
          <w:sz w:val="24"/>
          <w:szCs w:val="24"/>
        </w:rPr>
        <w:t>Overview</w:t>
      </w:r>
    </w:p>
    <w:p w14:paraId="40E6BF1D" w14:textId="611652DE" w:rsidR="00D80862" w:rsidRPr="00591899" w:rsidRDefault="2D1FB2D7" w:rsidP="007F14A7">
      <w:pPr>
        <w:rPr>
          <w:sz w:val="22"/>
          <w:szCs w:val="22"/>
        </w:rPr>
      </w:pPr>
      <w:r w:rsidRPr="00591899">
        <w:rPr>
          <w:sz w:val="22"/>
          <w:szCs w:val="22"/>
        </w:rPr>
        <w:t>The Department of Health (</w:t>
      </w:r>
      <w:r w:rsidR="5FECBA61" w:rsidRPr="00F0055F">
        <w:rPr>
          <w:sz w:val="22"/>
          <w:szCs w:val="22"/>
        </w:rPr>
        <w:t>D</w:t>
      </w:r>
      <w:r w:rsidR="3AD86D3B" w:rsidRPr="00591899">
        <w:rPr>
          <w:sz w:val="22"/>
          <w:szCs w:val="22"/>
        </w:rPr>
        <w:t>epartment</w:t>
      </w:r>
      <w:r w:rsidRPr="00591899">
        <w:rPr>
          <w:sz w:val="22"/>
          <w:szCs w:val="22"/>
        </w:rPr>
        <w:t>) works to protect and improve the health of all people in Washington State.</w:t>
      </w:r>
      <w:r w:rsidR="0036641E" w:rsidRPr="00591899">
        <w:rPr>
          <w:sz w:val="22"/>
          <w:szCs w:val="22"/>
        </w:rPr>
        <w:t xml:space="preserve"> The Office of Radiation Protection provides X-ray registration and inspection, radioactive materials licensing and inspection, radioactive waste management, environmental radiation monitoring, radioactive air emissions licensing and inspection, Hanford Emergency Response and Planning, and implements U.S. Nuclear Regulatory Commission program requirements, including oversight of the state's only nuclear power generating plant, Columbia Generating Station.</w:t>
      </w:r>
      <w:r w:rsidRPr="00591899">
        <w:rPr>
          <w:sz w:val="22"/>
          <w:szCs w:val="22"/>
        </w:rPr>
        <w:t xml:space="preserve"> </w:t>
      </w:r>
      <w:hyperlink r:id="rId11">
        <w:r w:rsidR="00573947" w:rsidRPr="00591899">
          <w:rPr>
            <w:rStyle w:val="Hyperlink"/>
            <w:sz w:val="22"/>
            <w:szCs w:val="22"/>
          </w:rPr>
          <w:t xml:space="preserve">Chapter 70A.388 RCW, Nuclear Energy and Radiation, </w:t>
        </w:r>
      </w:hyperlink>
      <w:r w:rsidR="00573947" w:rsidRPr="00591899">
        <w:rPr>
          <w:sz w:val="22"/>
          <w:szCs w:val="22"/>
        </w:rPr>
        <w:t>designates t</w:t>
      </w:r>
      <w:r w:rsidR="0036641E" w:rsidRPr="00591899">
        <w:rPr>
          <w:sz w:val="22"/>
          <w:szCs w:val="22"/>
        </w:rPr>
        <w:t xml:space="preserve">he Department </w:t>
      </w:r>
      <w:r w:rsidR="00573947" w:rsidRPr="00591899">
        <w:rPr>
          <w:sz w:val="22"/>
          <w:szCs w:val="22"/>
        </w:rPr>
        <w:t>as the state radiation control agency and is responsible for overseeing</w:t>
      </w:r>
      <w:r w:rsidRPr="00591899" w:rsidDel="0036641E">
        <w:rPr>
          <w:sz w:val="22"/>
          <w:szCs w:val="22"/>
        </w:rPr>
        <w:t xml:space="preserve"> </w:t>
      </w:r>
      <w:r w:rsidRPr="00591899">
        <w:rPr>
          <w:sz w:val="22"/>
          <w:szCs w:val="22"/>
        </w:rPr>
        <w:t>the Radioactive Material</w:t>
      </w:r>
      <w:r w:rsidR="00795AA8" w:rsidRPr="00591899">
        <w:rPr>
          <w:sz w:val="22"/>
          <w:szCs w:val="22"/>
        </w:rPr>
        <w:t>s</w:t>
      </w:r>
      <w:r w:rsidRPr="00591899">
        <w:rPr>
          <w:sz w:val="22"/>
          <w:szCs w:val="22"/>
        </w:rPr>
        <w:t xml:space="preserve"> program</w:t>
      </w:r>
      <w:r w:rsidR="00D80862" w:rsidRPr="00591899">
        <w:rPr>
          <w:sz w:val="22"/>
          <w:szCs w:val="22"/>
        </w:rPr>
        <w:t>.</w:t>
      </w:r>
      <w:r w:rsidRPr="00591899">
        <w:rPr>
          <w:sz w:val="22"/>
          <w:szCs w:val="22"/>
        </w:rPr>
        <w:t xml:space="preserve"> </w:t>
      </w:r>
    </w:p>
    <w:p w14:paraId="30774C68" w14:textId="6B83F8A5" w:rsidR="007F14A7" w:rsidRPr="00591899" w:rsidRDefault="006B6836" w:rsidP="007F14A7">
      <w:pPr>
        <w:rPr>
          <w:rFonts w:eastAsia="Calibri"/>
          <w:sz w:val="22"/>
          <w:szCs w:val="22"/>
        </w:rPr>
      </w:pPr>
      <w:r w:rsidRPr="00591899">
        <w:rPr>
          <w:rFonts w:eastAsia="Calibri"/>
          <w:sz w:val="22"/>
          <w:szCs w:val="22"/>
        </w:rPr>
        <w:t xml:space="preserve">The </w:t>
      </w:r>
      <w:r w:rsidR="54742E33" w:rsidRPr="2FC1AB7B" w:rsidDel="00573947">
        <w:rPr>
          <w:rFonts w:eastAsia="Calibri"/>
          <w:sz w:val="22"/>
          <w:szCs w:val="22"/>
        </w:rPr>
        <w:t>D</w:t>
      </w:r>
      <w:r w:rsidR="54742E33" w:rsidRPr="00591899" w:rsidDel="006B6836">
        <w:rPr>
          <w:rFonts w:eastAsia="Calibri"/>
          <w:sz w:val="22"/>
          <w:szCs w:val="22"/>
        </w:rPr>
        <w:t>epartment</w:t>
      </w:r>
      <w:r w:rsidRPr="00591899">
        <w:rPr>
          <w:rFonts w:eastAsia="Calibri"/>
          <w:sz w:val="22"/>
          <w:szCs w:val="22"/>
        </w:rPr>
        <w:t xml:space="preserve"> licenses and inspects all </w:t>
      </w:r>
      <w:r w:rsidR="2AF4A64E" w:rsidRPr="00591899">
        <w:rPr>
          <w:rFonts w:eastAsia="Calibri"/>
          <w:sz w:val="22"/>
          <w:szCs w:val="22"/>
        </w:rPr>
        <w:t>r</w:t>
      </w:r>
      <w:r w:rsidR="54742E33" w:rsidRPr="00591899" w:rsidDel="00795AA8">
        <w:rPr>
          <w:rFonts w:eastAsia="Calibri"/>
          <w:sz w:val="22"/>
          <w:szCs w:val="22"/>
        </w:rPr>
        <w:t xml:space="preserve">adioactive </w:t>
      </w:r>
      <w:r w:rsidR="2AF4A64E" w:rsidRPr="00591899">
        <w:rPr>
          <w:rFonts w:eastAsia="Calibri"/>
          <w:sz w:val="22"/>
          <w:szCs w:val="22"/>
        </w:rPr>
        <w:t>m</w:t>
      </w:r>
      <w:r w:rsidR="54742E33" w:rsidRPr="00591899" w:rsidDel="00795AA8">
        <w:rPr>
          <w:rFonts w:eastAsia="Calibri"/>
          <w:sz w:val="22"/>
          <w:szCs w:val="22"/>
        </w:rPr>
        <w:t xml:space="preserve">aterials </w:t>
      </w:r>
      <w:r w:rsidR="2AF4A64E" w:rsidRPr="00591899">
        <w:rPr>
          <w:rFonts w:eastAsia="Calibri"/>
          <w:sz w:val="22"/>
          <w:szCs w:val="22"/>
        </w:rPr>
        <w:t>f</w:t>
      </w:r>
      <w:r w:rsidR="54742E33" w:rsidRPr="00591899" w:rsidDel="00795AA8">
        <w:rPr>
          <w:rFonts w:eastAsia="Calibri"/>
          <w:sz w:val="22"/>
          <w:szCs w:val="22"/>
        </w:rPr>
        <w:t>acilities</w:t>
      </w:r>
      <w:r w:rsidRPr="00591899">
        <w:rPr>
          <w:rFonts w:eastAsia="Calibri"/>
          <w:sz w:val="22"/>
          <w:szCs w:val="22"/>
        </w:rPr>
        <w:t xml:space="preserve"> as required by law and are part of the National Materials Program (NRP). The NRP is a broad collective framework within which both the Nuclear Regulatory Commission and the agreement states function in carrying out their respective regulatory programs for radioactive material.  </w:t>
      </w:r>
    </w:p>
    <w:p w14:paraId="68EF2372" w14:textId="2937E7FE" w:rsidR="0047736B" w:rsidRPr="00591899" w:rsidRDefault="007F14A7" w:rsidP="2FC1AB7B">
      <w:pPr>
        <w:mirrorIndents/>
        <w:rPr>
          <w:sz w:val="22"/>
          <w:szCs w:val="22"/>
        </w:rPr>
      </w:pPr>
      <w:hyperlink r:id="rId12">
        <w:r w:rsidRPr="00591899">
          <w:rPr>
            <w:rStyle w:val="Hyperlink"/>
            <w:sz w:val="22"/>
            <w:szCs w:val="22"/>
          </w:rPr>
          <w:t>RCW 43.70.250</w:t>
        </w:r>
      </w:hyperlink>
      <w:r w:rsidRPr="00591899">
        <w:rPr>
          <w:sz w:val="22"/>
          <w:szCs w:val="22"/>
        </w:rPr>
        <w:t xml:space="preserve"> </w:t>
      </w:r>
      <w:r w:rsidR="006B6836" w:rsidRPr="00591899">
        <w:rPr>
          <w:sz w:val="22"/>
          <w:szCs w:val="22"/>
        </w:rPr>
        <w:t>authorizes the Secretary</w:t>
      </w:r>
      <w:r w:rsidR="00DF46C5">
        <w:rPr>
          <w:sz w:val="22"/>
          <w:szCs w:val="22"/>
        </w:rPr>
        <w:t xml:space="preserve"> of Health</w:t>
      </w:r>
      <w:r w:rsidR="006B6836" w:rsidRPr="00591899">
        <w:rPr>
          <w:sz w:val="22"/>
          <w:szCs w:val="22"/>
        </w:rPr>
        <w:t xml:space="preserve"> to establish various fees associated with licensing and regulation of professions, occupations, or businesses. These fees must be set at a level that covers the costs of administering each program or license. </w:t>
      </w:r>
    </w:p>
    <w:p w14:paraId="32D914F6" w14:textId="0697FD1A" w:rsidR="00FF084C" w:rsidRPr="00591899" w:rsidRDefault="007F14A7" w:rsidP="00FF084C">
      <w:pPr>
        <w:mirrorIndents/>
        <w:rPr>
          <w:rFonts w:eastAsia="Calibri"/>
          <w:sz w:val="22"/>
          <w:szCs w:val="22"/>
        </w:rPr>
      </w:pPr>
      <w:r w:rsidRPr="00591899" w:rsidDel="006B6836">
        <w:rPr>
          <w:rFonts w:eastAsia="Calibri"/>
          <w:sz w:val="22"/>
          <w:szCs w:val="22"/>
        </w:rPr>
        <w:t xml:space="preserve">The </w:t>
      </w:r>
      <w:r w:rsidR="54742E33" w:rsidRPr="2FC1AB7B">
        <w:rPr>
          <w:rFonts w:eastAsia="Calibri"/>
          <w:sz w:val="22"/>
          <w:szCs w:val="22"/>
        </w:rPr>
        <w:t>D</w:t>
      </w:r>
      <w:r w:rsidR="5F06E3EC" w:rsidRPr="2FC1AB7B">
        <w:rPr>
          <w:rFonts w:eastAsia="Calibri"/>
          <w:sz w:val="22"/>
          <w:szCs w:val="22"/>
        </w:rPr>
        <w:t>epartment</w:t>
      </w:r>
      <w:r w:rsidR="121C9088" w:rsidRPr="00591899">
        <w:rPr>
          <w:rFonts w:eastAsia="Calibri"/>
          <w:sz w:val="22"/>
          <w:szCs w:val="22"/>
        </w:rPr>
        <w:t xml:space="preserve"> has completed an initial assessment and determined the current fees are not generating sufficient revenue to cover the operating costs over the biennium. Considering the </w:t>
      </w:r>
      <w:r w:rsidR="0062542D" w:rsidRPr="00591899">
        <w:rPr>
          <w:rFonts w:eastAsia="Calibri"/>
          <w:sz w:val="22"/>
          <w:szCs w:val="22"/>
        </w:rPr>
        <w:t>radioactive material</w:t>
      </w:r>
      <w:r w:rsidR="00795AA8" w:rsidRPr="00591899">
        <w:rPr>
          <w:rFonts w:eastAsia="Calibri"/>
          <w:sz w:val="22"/>
          <w:szCs w:val="22"/>
        </w:rPr>
        <w:t>s</w:t>
      </w:r>
      <w:r w:rsidR="0062542D" w:rsidRPr="00591899">
        <w:rPr>
          <w:rFonts w:eastAsia="Calibri"/>
          <w:sz w:val="22"/>
          <w:szCs w:val="22"/>
        </w:rPr>
        <w:t xml:space="preserve"> </w:t>
      </w:r>
      <w:r w:rsidR="121C9088" w:rsidRPr="00591899">
        <w:rPr>
          <w:rFonts w:eastAsia="Calibri"/>
          <w:sz w:val="22"/>
          <w:szCs w:val="22"/>
        </w:rPr>
        <w:t xml:space="preserve">program’s financial forecast, the </w:t>
      </w:r>
      <w:r w:rsidR="107E17A1" w:rsidRPr="2FC1AB7B">
        <w:rPr>
          <w:rFonts w:eastAsia="Calibri"/>
          <w:sz w:val="22"/>
          <w:szCs w:val="22"/>
        </w:rPr>
        <w:t>D</w:t>
      </w:r>
      <w:r w:rsidR="5F06E3EC" w:rsidRPr="2FC1AB7B">
        <w:rPr>
          <w:rFonts w:eastAsia="Calibri"/>
          <w:sz w:val="22"/>
          <w:szCs w:val="22"/>
        </w:rPr>
        <w:t>epartment</w:t>
      </w:r>
      <w:r w:rsidR="121C9088" w:rsidRPr="00591899">
        <w:rPr>
          <w:rFonts w:eastAsia="Calibri"/>
          <w:sz w:val="22"/>
          <w:szCs w:val="22"/>
        </w:rPr>
        <w:t xml:space="preserve"> recommends a fee adjustment to address cost-of-living adjustments made in the 2025-2027 state budget (ESSB 5167)</w:t>
      </w:r>
      <w:r w:rsidR="4EA91029" w:rsidRPr="00591899">
        <w:rPr>
          <w:rFonts w:eastAsia="Calibri"/>
          <w:sz w:val="22"/>
          <w:szCs w:val="22"/>
        </w:rPr>
        <w:t xml:space="preserve"> and </w:t>
      </w:r>
      <w:r w:rsidR="4EA91029" w:rsidRPr="00591899">
        <w:rPr>
          <w:rFonts w:eastAsia="Calibri"/>
          <w:color w:val="000000" w:themeColor="text1"/>
          <w:sz w:val="22"/>
          <w:szCs w:val="22"/>
        </w:rPr>
        <w:t>additional personnel related costs for 1 FTE- Radiation Health Physicist</w:t>
      </w:r>
      <w:r w:rsidR="4EA91029" w:rsidRPr="00591899">
        <w:rPr>
          <w:sz w:val="22"/>
          <w:szCs w:val="22"/>
        </w:rPr>
        <w:t>.</w:t>
      </w:r>
    </w:p>
    <w:p w14:paraId="6E22BA21" w14:textId="4D05FDE7" w:rsidR="00FF084C" w:rsidRPr="00591899" w:rsidRDefault="00FF084C" w:rsidP="00FF084C">
      <w:pPr>
        <w:mirrorIndents/>
        <w:rPr>
          <w:rFonts w:eastAsia="Calibri"/>
          <w:sz w:val="22"/>
          <w:szCs w:val="22"/>
        </w:rPr>
      </w:pPr>
      <w:r w:rsidRPr="00591899">
        <w:rPr>
          <w:rFonts w:eastAsia="Calibri"/>
          <w:sz w:val="22"/>
          <w:szCs w:val="22"/>
        </w:rPr>
        <w:t>This document summarizes data on revenue, expenditures, financial forecast, and the changes to existing fees.</w:t>
      </w:r>
    </w:p>
    <w:p w14:paraId="288EB3C5" w14:textId="77777777" w:rsidR="00591899" w:rsidRDefault="00591899" w:rsidP="2FC1AB7B">
      <w:pPr>
        <w:pStyle w:val="NoSpacing"/>
        <w:rPr>
          <w:rFonts w:eastAsia="Calibri"/>
        </w:rPr>
      </w:pPr>
    </w:p>
    <w:p w14:paraId="11C7CE6D" w14:textId="64FBBD01" w:rsidR="005B583B" w:rsidRPr="00BD173D" w:rsidRDefault="005B583B" w:rsidP="00BD173D">
      <w:pPr>
        <w:pStyle w:val="NoSpacing"/>
        <w:rPr>
          <w:rFonts w:eastAsia="Calibri"/>
          <w:b/>
          <w:bCs/>
        </w:rPr>
      </w:pPr>
      <w:r w:rsidRPr="00BD173D">
        <w:rPr>
          <w:rFonts w:eastAsia="Calibri"/>
          <w:b/>
          <w:bCs/>
          <w:sz w:val="24"/>
          <w:szCs w:val="24"/>
        </w:rPr>
        <w:t>Current Financial Status</w:t>
      </w:r>
    </w:p>
    <w:p w14:paraId="2C84E715" w14:textId="039AC583" w:rsidR="007F14A7" w:rsidRDefault="007F14A7" w:rsidP="007F14A7">
      <w:pPr>
        <w:spacing w:line="283" w:lineRule="auto"/>
        <w:rPr>
          <w:rFonts w:eastAsia="Calibri"/>
          <w:color w:val="000000" w:themeColor="text1"/>
          <w:sz w:val="22"/>
          <w:szCs w:val="22"/>
        </w:rPr>
      </w:pPr>
      <w:r w:rsidRPr="00B52C6D">
        <w:rPr>
          <w:rFonts w:eastAsia="Calibri"/>
          <w:color w:val="000000" w:themeColor="text1"/>
          <w:sz w:val="22"/>
          <w:szCs w:val="22"/>
        </w:rPr>
        <w:t>The</w:t>
      </w:r>
      <w:r w:rsidR="00795AA8">
        <w:rPr>
          <w:rFonts w:eastAsia="Calibri"/>
          <w:color w:val="000000" w:themeColor="text1"/>
          <w:sz w:val="22"/>
          <w:szCs w:val="22"/>
        </w:rPr>
        <w:t xml:space="preserve"> Department’s </w:t>
      </w:r>
      <w:r w:rsidR="00F413B9">
        <w:rPr>
          <w:rFonts w:eastAsia="Calibri"/>
          <w:color w:val="000000" w:themeColor="text1"/>
          <w:sz w:val="22"/>
          <w:szCs w:val="22"/>
        </w:rPr>
        <w:t>R</w:t>
      </w:r>
      <w:r w:rsidR="00795AA8">
        <w:rPr>
          <w:rFonts w:eastAsia="Calibri"/>
          <w:color w:val="000000" w:themeColor="text1"/>
          <w:sz w:val="22"/>
          <w:szCs w:val="22"/>
        </w:rPr>
        <w:t xml:space="preserve">adioactive </w:t>
      </w:r>
      <w:r w:rsidR="00F413B9">
        <w:rPr>
          <w:rFonts w:eastAsia="Calibri"/>
          <w:color w:val="000000" w:themeColor="text1"/>
          <w:sz w:val="22"/>
          <w:szCs w:val="22"/>
        </w:rPr>
        <w:t>M</w:t>
      </w:r>
      <w:r w:rsidR="00795AA8">
        <w:rPr>
          <w:rFonts w:eastAsia="Calibri"/>
          <w:color w:val="000000" w:themeColor="text1"/>
          <w:sz w:val="22"/>
          <w:szCs w:val="22"/>
        </w:rPr>
        <w:t>aterials</w:t>
      </w:r>
      <w:r w:rsidRPr="00B52C6D">
        <w:rPr>
          <w:rFonts w:eastAsia="Calibri"/>
          <w:color w:val="000000" w:themeColor="text1"/>
          <w:sz w:val="22"/>
          <w:szCs w:val="22"/>
        </w:rPr>
        <w:t xml:space="preserve"> </w:t>
      </w:r>
      <w:r w:rsidR="76D3E455" w:rsidRPr="2FC1AB7B">
        <w:rPr>
          <w:rFonts w:eastAsia="Calibri"/>
          <w:color w:val="000000" w:themeColor="text1"/>
          <w:sz w:val="22"/>
          <w:szCs w:val="22"/>
        </w:rPr>
        <w:t>currently has</w:t>
      </w:r>
      <w:r w:rsidRPr="00B52C6D">
        <w:rPr>
          <w:rFonts w:eastAsia="Calibri"/>
          <w:color w:val="000000" w:themeColor="text1"/>
          <w:sz w:val="22"/>
          <w:szCs w:val="22"/>
        </w:rPr>
        <w:t xml:space="preserve"> a fee balance of $</w:t>
      </w:r>
      <w:r w:rsidR="0C98CDEB" w:rsidRPr="2FC1AB7B">
        <w:rPr>
          <w:rFonts w:eastAsia="Calibri"/>
          <w:color w:val="000000" w:themeColor="text1"/>
          <w:sz w:val="22"/>
          <w:szCs w:val="22"/>
        </w:rPr>
        <w:t>465,207</w:t>
      </w:r>
      <w:r w:rsidR="03E869DF" w:rsidRPr="2FC1AB7B">
        <w:rPr>
          <w:rFonts w:eastAsia="Calibri"/>
          <w:color w:val="000000" w:themeColor="text1"/>
          <w:sz w:val="22"/>
          <w:szCs w:val="22"/>
        </w:rPr>
        <w:t xml:space="preserve">. </w:t>
      </w:r>
      <w:r w:rsidRPr="00B52C6D">
        <w:rPr>
          <w:rFonts w:eastAsia="Calibri"/>
          <w:color w:val="000000" w:themeColor="text1"/>
          <w:sz w:val="22"/>
          <w:szCs w:val="22"/>
        </w:rPr>
        <w:t>The recommended fee reserve amount is $</w:t>
      </w:r>
      <w:r w:rsidR="00BF1B5E" w:rsidRPr="00B52C6D">
        <w:rPr>
          <w:rFonts w:eastAsia="Calibri"/>
          <w:color w:val="000000" w:themeColor="text1"/>
          <w:sz w:val="22"/>
          <w:szCs w:val="22"/>
        </w:rPr>
        <w:t>680,819</w:t>
      </w:r>
      <w:r w:rsidRPr="00B52C6D">
        <w:rPr>
          <w:rFonts w:eastAsia="Calibri"/>
          <w:color w:val="000000" w:themeColor="text1"/>
          <w:sz w:val="22"/>
          <w:szCs w:val="22"/>
        </w:rPr>
        <w:t>. The fee balance is currently operating at a deficit of the recommended reserve amount.</w:t>
      </w:r>
      <w:r w:rsidRPr="4E3FC84D">
        <w:rPr>
          <w:rFonts w:eastAsia="Calibri"/>
          <w:color w:val="000000" w:themeColor="text1"/>
          <w:sz w:val="22"/>
          <w:szCs w:val="22"/>
        </w:rPr>
        <w:t xml:space="preserve"> </w:t>
      </w:r>
      <w:r w:rsidR="58942E9A" w:rsidRPr="2FC1AB7B">
        <w:rPr>
          <w:rFonts w:eastAsia="Calibri"/>
          <w:color w:val="000000" w:themeColor="text1"/>
          <w:sz w:val="22"/>
          <w:szCs w:val="22"/>
        </w:rPr>
        <w:t xml:space="preserve">The Department anticipates the fee balance to </w:t>
      </w:r>
      <w:r w:rsidR="00C90995" w:rsidRPr="2FC1AB7B">
        <w:rPr>
          <w:rFonts w:eastAsia="Calibri"/>
          <w:color w:val="000000" w:themeColor="text1"/>
          <w:sz w:val="22"/>
          <w:szCs w:val="22"/>
        </w:rPr>
        <w:t>be depleted</w:t>
      </w:r>
      <w:r w:rsidR="58942E9A" w:rsidRPr="2FC1AB7B">
        <w:rPr>
          <w:rFonts w:eastAsia="Calibri"/>
          <w:color w:val="000000" w:themeColor="text1"/>
          <w:sz w:val="22"/>
          <w:szCs w:val="22"/>
        </w:rPr>
        <w:t xml:space="preserve"> if no changes occur.</w:t>
      </w:r>
    </w:p>
    <w:p w14:paraId="111BA6DF" w14:textId="77777777" w:rsidR="00591899" w:rsidRDefault="00591899" w:rsidP="2FC1AB7B">
      <w:pPr>
        <w:pStyle w:val="NoSpacing"/>
      </w:pPr>
    </w:p>
    <w:p w14:paraId="69097F34" w14:textId="1D639A1A" w:rsidR="00C30303" w:rsidRPr="00933216" w:rsidRDefault="00C30303" w:rsidP="006A5BBE">
      <w:pPr>
        <w:spacing w:after="0"/>
        <w:rPr>
          <w:b/>
          <w:bCs/>
          <w:sz w:val="24"/>
          <w:szCs w:val="24"/>
        </w:rPr>
      </w:pPr>
      <w:r w:rsidRPr="00933216">
        <w:rPr>
          <w:b/>
          <w:bCs/>
          <w:sz w:val="24"/>
          <w:szCs w:val="24"/>
        </w:rPr>
        <w:t>Revenue</w:t>
      </w:r>
    </w:p>
    <w:p w14:paraId="2B0EAAC3" w14:textId="7EF01239" w:rsidR="003F6463" w:rsidRDefault="003F6463" w:rsidP="003F6463">
      <w:pPr>
        <w:mirrorIndents/>
        <w:rPr>
          <w:sz w:val="22"/>
          <w:szCs w:val="22"/>
        </w:rPr>
      </w:pPr>
      <w:r w:rsidRPr="780AF81B">
        <w:rPr>
          <w:sz w:val="22"/>
          <w:szCs w:val="22"/>
        </w:rPr>
        <w:t xml:space="preserve">The </w:t>
      </w:r>
      <w:r w:rsidR="14ABBBE3" w:rsidRPr="2FC1AB7B">
        <w:rPr>
          <w:sz w:val="22"/>
          <w:szCs w:val="22"/>
        </w:rPr>
        <w:t>D</w:t>
      </w:r>
      <w:r w:rsidR="55DF0397" w:rsidRPr="2FC1AB7B">
        <w:rPr>
          <w:sz w:val="22"/>
          <w:szCs w:val="22"/>
        </w:rPr>
        <w:t>epartment</w:t>
      </w:r>
      <w:r w:rsidRPr="780AF81B">
        <w:rPr>
          <w:sz w:val="22"/>
          <w:szCs w:val="22"/>
        </w:rPr>
        <w:t xml:space="preserve"> currently licenses </w:t>
      </w:r>
      <w:r>
        <w:rPr>
          <w:sz w:val="22"/>
          <w:szCs w:val="22"/>
        </w:rPr>
        <w:t xml:space="preserve">approximately </w:t>
      </w:r>
      <w:r w:rsidRPr="6FCC0C98">
        <w:rPr>
          <w:sz w:val="22"/>
          <w:szCs w:val="22"/>
        </w:rPr>
        <w:t>3</w:t>
      </w:r>
      <w:r>
        <w:rPr>
          <w:sz w:val="22"/>
          <w:szCs w:val="22"/>
        </w:rPr>
        <w:t>50</w:t>
      </w:r>
      <w:r w:rsidRPr="780AF81B">
        <w:rPr>
          <w:sz w:val="22"/>
          <w:szCs w:val="22"/>
        </w:rPr>
        <w:t xml:space="preserve"> </w:t>
      </w:r>
      <w:r w:rsidR="14ABBBE3" w:rsidRPr="2FC1AB7B">
        <w:rPr>
          <w:sz w:val="22"/>
          <w:szCs w:val="22"/>
        </w:rPr>
        <w:t>r</w:t>
      </w:r>
      <w:r w:rsidR="55DF0397" w:rsidRPr="2FC1AB7B">
        <w:rPr>
          <w:sz w:val="22"/>
          <w:szCs w:val="22"/>
        </w:rPr>
        <w:t xml:space="preserve">adioactive </w:t>
      </w:r>
      <w:r w:rsidR="14ABBBE3" w:rsidRPr="2FC1AB7B">
        <w:rPr>
          <w:sz w:val="22"/>
          <w:szCs w:val="22"/>
        </w:rPr>
        <w:t>m</w:t>
      </w:r>
      <w:r w:rsidR="55DF0397" w:rsidRPr="2FC1AB7B">
        <w:rPr>
          <w:sz w:val="22"/>
          <w:szCs w:val="22"/>
        </w:rPr>
        <w:t xml:space="preserve">aterials </w:t>
      </w:r>
      <w:r>
        <w:rPr>
          <w:sz w:val="22"/>
          <w:szCs w:val="22"/>
        </w:rPr>
        <w:t xml:space="preserve">licenses and 480 facilities </w:t>
      </w:r>
      <w:r w:rsidRPr="780AF81B">
        <w:rPr>
          <w:sz w:val="22"/>
          <w:szCs w:val="22"/>
        </w:rPr>
        <w:t xml:space="preserve">in Washington </w:t>
      </w:r>
      <w:r w:rsidRPr="129C9E69">
        <w:rPr>
          <w:sz w:val="22"/>
          <w:szCs w:val="22"/>
        </w:rPr>
        <w:t>State.</w:t>
      </w:r>
      <w:r w:rsidRPr="780AF81B">
        <w:rPr>
          <w:sz w:val="22"/>
          <w:szCs w:val="22"/>
        </w:rPr>
        <w:t xml:space="preserve"> </w:t>
      </w:r>
      <w:r>
        <w:rPr>
          <w:sz w:val="22"/>
          <w:szCs w:val="22"/>
        </w:rPr>
        <w:t>Radioactive materials</w:t>
      </w:r>
      <w:r w:rsidRPr="780AF81B">
        <w:rPr>
          <w:sz w:val="22"/>
          <w:szCs w:val="22"/>
        </w:rPr>
        <w:t xml:space="preserve"> revenue comes from annual licenses</w:t>
      </w:r>
      <w:r>
        <w:rPr>
          <w:sz w:val="22"/>
          <w:szCs w:val="22"/>
        </w:rPr>
        <w:t xml:space="preserve"> </w:t>
      </w:r>
      <w:r w:rsidRPr="780AF81B">
        <w:rPr>
          <w:sz w:val="22"/>
          <w:szCs w:val="22"/>
        </w:rPr>
        <w:t xml:space="preserve">fees. </w:t>
      </w:r>
      <w:r>
        <w:rPr>
          <w:sz w:val="22"/>
          <w:szCs w:val="22"/>
        </w:rPr>
        <w:t xml:space="preserve">License fee rates vary widely and are grouped into four categories: specialized, medical and veterinary, industrial, and laboratory licensees. </w:t>
      </w:r>
    </w:p>
    <w:p w14:paraId="262AE5DD" w14:textId="7CB46BEE" w:rsidR="004D562C" w:rsidRPr="00BD173D" w:rsidRDefault="004D562C" w:rsidP="00BD173D">
      <w:pPr>
        <w:pStyle w:val="NoSpacing"/>
        <w:rPr>
          <w:b/>
          <w:bCs/>
          <w:sz w:val="24"/>
          <w:szCs w:val="24"/>
        </w:rPr>
      </w:pPr>
      <w:r w:rsidRPr="00BD173D">
        <w:rPr>
          <w:b/>
          <w:bCs/>
          <w:sz w:val="24"/>
          <w:szCs w:val="24"/>
        </w:rPr>
        <w:lastRenderedPageBreak/>
        <w:t>Fees</w:t>
      </w:r>
    </w:p>
    <w:p w14:paraId="2074885F" w14:textId="6397E846" w:rsidR="00D85467" w:rsidRPr="00591899" w:rsidRDefault="002C1290" w:rsidP="00491AC4">
      <w:pPr>
        <w:spacing w:line="283" w:lineRule="auto"/>
        <w:rPr>
          <w:rFonts w:eastAsia="Calibri"/>
          <w:color w:val="000000" w:themeColor="text1"/>
          <w:sz w:val="22"/>
          <w:szCs w:val="22"/>
        </w:rPr>
      </w:pPr>
      <w:r w:rsidRPr="00591899">
        <w:rPr>
          <w:rFonts w:eastAsia="Calibri"/>
          <w:color w:val="000000" w:themeColor="text1"/>
          <w:sz w:val="22"/>
          <w:szCs w:val="22"/>
        </w:rPr>
        <w:t>License fees are billed annually based on the date of the original license. License fees range from $</w:t>
      </w:r>
      <w:r w:rsidR="0055004D" w:rsidRPr="00591899">
        <w:rPr>
          <w:rFonts w:eastAsia="Calibri"/>
          <w:color w:val="000000" w:themeColor="text1"/>
          <w:sz w:val="22"/>
          <w:szCs w:val="22"/>
        </w:rPr>
        <w:t>248</w:t>
      </w:r>
      <w:r w:rsidRPr="00591899">
        <w:rPr>
          <w:rFonts w:eastAsia="Calibri"/>
          <w:color w:val="000000" w:themeColor="text1"/>
          <w:sz w:val="22"/>
          <w:szCs w:val="22"/>
        </w:rPr>
        <w:t xml:space="preserve"> – $</w:t>
      </w:r>
      <w:r w:rsidR="0055004D" w:rsidRPr="00591899">
        <w:rPr>
          <w:rFonts w:eastAsia="Calibri"/>
          <w:color w:val="000000" w:themeColor="text1"/>
          <w:sz w:val="22"/>
          <w:szCs w:val="22"/>
        </w:rPr>
        <w:t>47</w:t>
      </w:r>
      <w:r w:rsidRPr="00591899">
        <w:rPr>
          <w:rFonts w:eastAsia="Calibri"/>
          <w:color w:val="000000" w:themeColor="text1"/>
          <w:sz w:val="22"/>
          <w:szCs w:val="22"/>
        </w:rPr>
        <w:t>,</w:t>
      </w:r>
      <w:r w:rsidR="0055004D" w:rsidRPr="00591899">
        <w:rPr>
          <w:rFonts w:eastAsia="Calibri"/>
          <w:color w:val="000000" w:themeColor="text1"/>
          <w:sz w:val="22"/>
          <w:szCs w:val="22"/>
        </w:rPr>
        <w:t>537</w:t>
      </w:r>
      <w:r w:rsidRPr="00591899">
        <w:rPr>
          <w:rFonts w:eastAsia="Calibri"/>
          <w:color w:val="000000" w:themeColor="text1"/>
          <w:sz w:val="22"/>
          <w:szCs w:val="22"/>
        </w:rPr>
        <w:t xml:space="preserve"> depending upon license type and average $</w:t>
      </w:r>
      <w:r w:rsidR="008F6AB8" w:rsidRPr="00591899">
        <w:rPr>
          <w:rFonts w:eastAsia="Calibri"/>
          <w:color w:val="000000" w:themeColor="text1"/>
          <w:sz w:val="22"/>
          <w:szCs w:val="22"/>
        </w:rPr>
        <w:t>7</w:t>
      </w:r>
      <w:r w:rsidRPr="00591899">
        <w:rPr>
          <w:rFonts w:eastAsia="Calibri"/>
          <w:color w:val="000000" w:themeColor="text1"/>
          <w:sz w:val="22"/>
          <w:szCs w:val="22"/>
        </w:rPr>
        <w:t>,</w:t>
      </w:r>
      <w:r w:rsidR="008F6AB8" w:rsidRPr="00591899">
        <w:rPr>
          <w:rFonts w:eastAsia="Calibri"/>
          <w:color w:val="000000" w:themeColor="text1"/>
          <w:sz w:val="22"/>
          <w:szCs w:val="22"/>
        </w:rPr>
        <w:t>667</w:t>
      </w:r>
      <w:r w:rsidRPr="00591899">
        <w:rPr>
          <w:rFonts w:eastAsia="Calibri"/>
          <w:color w:val="000000" w:themeColor="text1"/>
          <w:sz w:val="22"/>
          <w:szCs w:val="22"/>
        </w:rPr>
        <w:t xml:space="preserve"> </w:t>
      </w:r>
      <w:r w:rsidR="008F6AB8" w:rsidRPr="00591899">
        <w:rPr>
          <w:rFonts w:eastAsia="Calibri"/>
          <w:color w:val="000000" w:themeColor="text1"/>
          <w:sz w:val="22"/>
          <w:szCs w:val="22"/>
        </w:rPr>
        <w:t>since November 17, 2024</w:t>
      </w:r>
      <w:r w:rsidRPr="00591899">
        <w:rPr>
          <w:rFonts w:eastAsia="Calibri"/>
          <w:color w:val="000000" w:themeColor="text1"/>
          <w:sz w:val="22"/>
          <w:szCs w:val="22"/>
        </w:rPr>
        <w:t xml:space="preserve">. There are 53 different fees depending on service and license. Revenue has been declining 3% annually over the last four years. This is due to a decrease in facilities. All fees are listed in </w:t>
      </w:r>
      <w:hyperlink r:id="rId13">
        <w:r w:rsidRPr="00591899">
          <w:rPr>
            <w:rStyle w:val="Hyperlink"/>
            <w:rFonts w:eastAsia="Calibri"/>
            <w:color w:val="0563C1"/>
            <w:sz w:val="22"/>
            <w:szCs w:val="22"/>
          </w:rPr>
          <w:t>WAC 246-254-030</w:t>
        </w:r>
      </w:hyperlink>
      <w:r w:rsidRPr="00591899">
        <w:rPr>
          <w:rFonts w:eastAsia="Calibri"/>
          <w:color w:val="000000" w:themeColor="text1"/>
          <w:sz w:val="22"/>
          <w:szCs w:val="22"/>
        </w:rPr>
        <w:t xml:space="preserve">, </w:t>
      </w:r>
      <w:hyperlink r:id="rId14">
        <w:r w:rsidRPr="00591899">
          <w:rPr>
            <w:rStyle w:val="Hyperlink"/>
            <w:rFonts w:eastAsia="Calibri"/>
            <w:color w:val="0563C1"/>
            <w:sz w:val="22"/>
            <w:szCs w:val="22"/>
          </w:rPr>
          <w:t>070</w:t>
        </w:r>
      </w:hyperlink>
      <w:r w:rsidRPr="00591899">
        <w:rPr>
          <w:rFonts w:eastAsia="Calibri"/>
          <w:color w:val="000000" w:themeColor="text1"/>
          <w:sz w:val="22"/>
          <w:szCs w:val="22"/>
        </w:rPr>
        <w:t xml:space="preserve">, </w:t>
      </w:r>
      <w:hyperlink r:id="rId15">
        <w:r w:rsidRPr="00591899">
          <w:rPr>
            <w:rStyle w:val="Hyperlink"/>
            <w:rFonts w:eastAsia="Calibri"/>
            <w:color w:val="0563C1"/>
            <w:sz w:val="22"/>
            <w:szCs w:val="22"/>
          </w:rPr>
          <w:t>090</w:t>
        </w:r>
      </w:hyperlink>
      <w:r w:rsidRPr="00591899">
        <w:rPr>
          <w:rFonts w:eastAsia="Calibri"/>
          <w:color w:val="000000" w:themeColor="text1"/>
          <w:sz w:val="22"/>
          <w:szCs w:val="22"/>
        </w:rPr>
        <w:t xml:space="preserve">, </w:t>
      </w:r>
      <w:hyperlink r:id="rId16">
        <w:r w:rsidRPr="00591899">
          <w:rPr>
            <w:rStyle w:val="Hyperlink"/>
            <w:rFonts w:eastAsia="Calibri"/>
            <w:color w:val="0563C1"/>
            <w:sz w:val="22"/>
            <w:szCs w:val="22"/>
          </w:rPr>
          <w:t>100</w:t>
        </w:r>
      </w:hyperlink>
      <w:r w:rsidRPr="00591899">
        <w:rPr>
          <w:rFonts w:eastAsia="Calibri"/>
          <w:color w:val="000000" w:themeColor="text1"/>
          <w:sz w:val="22"/>
          <w:szCs w:val="22"/>
        </w:rPr>
        <w:t xml:space="preserve"> &amp; </w:t>
      </w:r>
      <w:hyperlink r:id="rId17">
        <w:r w:rsidRPr="00591899">
          <w:rPr>
            <w:rStyle w:val="Hyperlink"/>
            <w:rFonts w:eastAsia="Calibri"/>
            <w:color w:val="0563C1"/>
            <w:sz w:val="22"/>
            <w:szCs w:val="22"/>
          </w:rPr>
          <w:t>120</w:t>
        </w:r>
      </w:hyperlink>
      <w:r w:rsidRPr="00591899">
        <w:rPr>
          <w:rFonts w:eastAsia="Calibri"/>
          <w:color w:val="000000" w:themeColor="text1"/>
          <w:sz w:val="22"/>
          <w:szCs w:val="22"/>
        </w:rPr>
        <w:t>. The last fee changes occurred in 20</w:t>
      </w:r>
      <w:r w:rsidR="009B3457" w:rsidRPr="00591899">
        <w:rPr>
          <w:rFonts w:eastAsia="Calibri"/>
          <w:color w:val="000000" w:themeColor="text1"/>
          <w:sz w:val="22"/>
          <w:szCs w:val="22"/>
        </w:rPr>
        <w:t>2</w:t>
      </w:r>
      <w:r w:rsidR="00E02E7A" w:rsidRPr="00591899">
        <w:rPr>
          <w:rFonts w:eastAsia="Calibri"/>
          <w:color w:val="000000" w:themeColor="text1"/>
          <w:sz w:val="22"/>
          <w:szCs w:val="22"/>
        </w:rPr>
        <w:t>4</w:t>
      </w:r>
      <w:r w:rsidRPr="00591899">
        <w:rPr>
          <w:rFonts w:eastAsia="Calibri"/>
          <w:color w:val="000000" w:themeColor="text1"/>
          <w:sz w:val="22"/>
          <w:szCs w:val="22"/>
        </w:rPr>
        <w:t xml:space="preserve"> </w:t>
      </w:r>
      <w:r w:rsidR="00A05372" w:rsidRPr="00591899">
        <w:rPr>
          <w:rFonts w:eastAsia="Calibri"/>
          <w:color w:val="000000" w:themeColor="text1"/>
          <w:sz w:val="22"/>
          <w:szCs w:val="22"/>
        </w:rPr>
        <w:t>to address the deficit in revenue over expenditures</w:t>
      </w:r>
      <w:r w:rsidRPr="00591899">
        <w:rPr>
          <w:rFonts w:eastAsia="Calibri"/>
          <w:color w:val="000000" w:themeColor="text1"/>
          <w:sz w:val="22"/>
          <w:szCs w:val="22"/>
        </w:rPr>
        <w:t>.</w:t>
      </w:r>
    </w:p>
    <w:p w14:paraId="530787A9" w14:textId="77777777" w:rsidR="00591899" w:rsidRDefault="00591899" w:rsidP="2FC1AB7B">
      <w:pPr>
        <w:pStyle w:val="NoSpacing"/>
      </w:pPr>
    </w:p>
    <w:p w14:paraId="4972E06E" w14:textId="5BF4A269" w:rsidR="00AF534D" w:rsidRPr="00BD173D" w:rsidRDefault="00C30303" w:rsidP="00BD173D">
      <w:pPr>
        <w:pStyle w:val="NoSpacing"/>
        <w:rPr>
          <w:b/>
          <w:bCs/>
          <w:sz w:val="24"/>
          <w:szCs w:val="24"/>
        </w:rPr>
      </w:pPr>
      <w:r w:rsidRPr="00BD173D">
        <w:rPr>
          <w:b/>
          <w:bCs/>
          <w:sz w:val="24"/>
          <w:szCs w:val="24"/>
        </w:rPr>
        <w:t>Expenditures</w:t>
      </w:r>
    </w:p>
    <w:p w14:paraId="44DC76D2" w14:textId="722C6034" w:rsidR="009D3F67" w:rsidRDefault="1FFD37B0" w:rsidP="009D3F67">
      <w:pPr>
        <w:mirrorIndents/>
        <w:rPr>
          <w:sz w:val="22"/>
          <w:szCs w:val="22"/>
        </w:rPr>
      </w:pPr>
      <w:r w:rsidRPr="00427624">
        <w:rPr>
          <w:sz w:val="22"/>
          <w:szCs w:val="22"/>
        </w:rPr>
        <w:t>Costs</w:t>
      </w:r>
      <w:r w:rsidR="009D3F67" w:rsidRPr="00427624">
        <w:rPr>
          <w:sz w:val="22"/>
          <w:szCs w:val="22"/>
        </w:rPr>
        <w:t xml:space="preserve"> for the </w:t>
      </w:r>
      <w:r w:rsidR="00F413B9">
        <w:rPr>
          <w:sz w:val="22"/>
          <w:szCs w:val="22"/>
        </w:rPr>
        <w:t xml:space="preserve">Radioactive Materials </w:t>
      </w:r>
      <w:r w:rsidR="009D3F67" w:rsidRPr="00427624">
        <w:rPr>
          <w:sz w:val="22"/>
          <w:szCs w:val="22"/>
        </w:rPr>
        <w:t xml:space="preserve">program </w:t>
      </w:r>
      <w:r w:rsidR="009D3F67">
        <w:rPr>
          <w:sz w:val="22"/>
          <w:szCs w:val="22"/>
        </w:rPr>
        <w:t xml:space="preserve">are </w:t>
      </w:r>
      <w:r w:rsidR="009D3F67" w:rsidRPr="00427624">
        <w:rPr>
          <w:sz w:val="22"/>
          <w:szCs w:val="22"/>
        </w:rPr>
        <w:t xml:space="preserve">classified into </w:t>
      </w:r>
      <w:r w:rsidR="009D3F67">
        <w:rPr>
          <w:sz w:val="22"/>
          <w:szCs w:val="22"/>
        </w:rPr>
        <w:t xml:space="preserve">four </w:t>
      </w:r>
      <w:r w:rsidR="009D3F67" w:rsidRPr="00427624">
        <w:rPr>
          <w:sz w:val="22"/>
          <w:szCs w:val="22"/>
        </w:rPr>
        <w:t>primary</w:t>
      </w:r>
      <w:r w:rsidR="009D3F67">
        <w:rPr>
          <w:sz w:val="22"/>
          <w:szCs w:val="22"/>
        </w:rPr>
        <w:t xml:space="preserve"> cost categories</w:t>
      </w:r>
      <w:r w:rsidR="009D3F67" w:rsidRPr="6FCC0C98">
        <w:rPr>
          <w:sz w:val="22"/>
          <w:szCs w:val="22"/>
        </w:rPr>
        <w:t>:</w:t>
      </w:r>
      <w:r w:rsidR="009D3F67">
        <w:rPr>
          <w:sz w:val="22"/>
          <w:szCs w:val="22"/>
        </w:rPr>
        <w:t xml:space="preserve"> Operations, Heath Technology Services (HTS), Public Health Lab (PHL) Testing, and Indirect. </w:t>
      </w:r>
      <w:r w:rsidR="5FD35356">
        <w:rPr>
          <w:noProof/>
        </w:rPr>
        <w:drawing>
          <wp:inline distT="0" distB="0" distL="0" distR="0" wp14:anchorId="553D8840" wp14:editId="4134F175">
            <wp:extent cx="5695948" cy="971233"/>
            <wp:effectExtent l="0" t="0" r="0" b="635"/>
            <wp:docPr id="1213751605" name="Picture 1" descr="Graphical user inte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5695948" cy="971233"/>
                    </a:xfrm>
                    <a:prstGeom prst="rect">
                      <a:avLst/>
                    </a:prstGeom>
                  </pic:spPr>
                </pic:pic>
              </a:graphicData>
            </a:graphic>
          </wp:inline>
        </w:drawing>
      </w:r>
    </w:p>
    <w:p w14:paraId="28E05BF5" w14:textId="77777777" w:rsidR="00473349" w:rsidRDefault="00473349" w:rsidP="006A5BBE">
      <w:pPr>
        <w:spacing w:after="0"/>
        <w:rPr>
          <w:b/>
          <w:bCs/>
          <w:sz w:val="24"/>
          <w:szCs w:val="24"/>
        </w:rPr>
      </w:pPr>
    </w:p>
    <w:p w14:paraId="48FA1210" w14:textId="2E5C601F" w:rsidR="006A5BBE" w:rsidRPr="00996060" w:rsidRDefault="009F03B8" w:rsidP="006A5BBE">
      <w:pPr>
        <w:spacing w:after="0"/>
        <w:rPr>
          <w:b/>
          <w:bCs/>
          <w:sz w:val="24"/>
          <w:szCs w:val="24"/>
        </w:rPr>
      </w:pPr>
      <w:r w:rsidRPr="00125C98">
        <w:rPr>
          <w:b/>
          <w:bCs/>
          <w:sz w:val="24"/>
          <w:szCs w:val="24"/>
        </w:rPr>
        <w:t xml:space="preserve">Financial </w:t>
      </w:r>
      <w:r w:rsidR="00521077" w:rsidRPr="00125C98">
        <w:rPr>
          <w:b/>
          <w:bCs/>
          <w:sz w:val="24"/>
          <w:szCs w:val="24"/>
        </w:rPr>
        <w:t>Forecast</w:t>
      </w:r>
    </w:p>
    <w:p w14:paraId="23029F8E" w14:textId="200C4C11" w:rsidR="00626F92" w:rsidRPr="00125C98" w:rsidRDefault="00626F92" w:rsidP="006A5BBE">
      <w:pPr>
        <w:spacing w:after="0"/>
        <w:rPr>
          <w:b/>
          <w:bCs/>
          <w:sz w:val="22"/>
          <w:szCs w:val="22"/>
        </w:rPr>
      </w:pPr>
      <w:r w:rsidRPr="00125C98">
        <w:rPr>
          <w:b/>
          <w:bCs/>
          <w:sz w:val="22"/>
          <w:szCs w:val="22"/>
        </w:rPr>
        <w:t>Revenue</w:t>
      </w:r>
    </w:p>
    <w:p w14:paraId="22F52538" w14:textId="729ABFDA" w:rsidR="00F13D84" w:rsidRDefault="00FA23D0" w:rsidP="00B70869">
      <w:pPr>
        <w:mirrorIndents/>
        <w:rPr>
          <w:sz w:val="22"/>
          <w:szCs w:val="22"/>
        </w:rPr>
      </w:pPr>
      <w:r w:rsidRPr="00FA23D0">
        <w:rPr>
          <w:sz w:val="22"/>
          <w:szCs w:val="22"/>
        </w:rPr>
        <w:t xml:space="preserve">The </w:t>
      </w:r>
      <w:r w:rsidR="2D8BB4B3" w:rsidRPr="2FC1AB7B">
        <w:rPr>
          <w:sz w:val="22"/>
          <w:szCs w:val="22"/>
        </w:rPr>
        <w:t>D</w:t>
      </w:r>
      <w:r w:rsidR="2501433B" w:rsidRPr="2FC1AB7B">
        <w:rPr>
          <w:sz w:val="22"/>
          <w:szCs w:val="22"/>
        </w:rPr>
        <w:t>epartment</w:t>
      </w:r>
      <w:r w:rsidRPr="00FA23D0">
        <w:rPr>
          <w:sz w:val="22"/>
          <w:szCs w:val="22"/>
        </w:rPr>
        <w:t xml:space="preserve"> does not anticipate any significant growth in licensees over the next five years. Operations are projected to continue renewing at an average renewal rate of 100 percent except for a few licensee types. Most significantly, portable gauge and health physicist licensees who have averaged 6% and 5% decline annually. Portable gauge licensees account for 10% of total revenue annually while health physicist account for 3%. We expect these trends to continue</w:t>
      </w:r>
      <w:r w:rsidR="2BABB95A" w:rsidRPr="4C1C12C1">
        <w:rPr>
          <w:sz w:val="22"/>
          <w:szCs w:val="22"/>
        </w:rPr>
        <w:t xml:space="preserve">. </w:t>
      </w:r>
    </w:p>
    <w:p w14:paraId="3C5101F6" w14:textId="1D880228" w:rsidR="00626F92" w:rsidRPr="00125C98" w:rsidRDefault="00626F92" w:rsidP="006A5BBE">
      <w:pPr>
        <w:spacing w:after="0"/>
        <w:rPr>
          <w:b/>
          <w:bCs/>
          <w:sz w:val="22"/>
          <w:szCs w:val="22"/>
        </w:rPr>
      </w:pPr>
      <w:r w:rsidRPr="00125C98">
        <w:rPr>
          <w:b/>
          <w:bCs/>
          <w:sz w:val="22"/>
          <w:szCs w:val="22"/>
        </w:rPr>
        <w:t>Expenditures</w:t>
      </w:r>
    </w:p>
    <w:p w14:paraId="6C21AEC4" w14:textId="65292FEE" w:rsidR="00553045" w:rsidRDefault="22B723FA" w:rsidP="00553045">
      <w:pPr>
        <w:widowControl w:val="0"/>
        <w:spacing w:line="286" w:lineRule="auto"/>
        <w:mirrorIndents/>
      </w:pPr>
      <w:r w:rsidRPr="26611CF0">
        <w:rPr>
          <w:rFonts w:eastAsia="Calibri"/>
          <w:color w:val="000000" w:themeColor="text1"/>
          <w:sz w:val="22"/>
          <w:szCs w:val="22"/>
        </w:rPr>
        <w:t xml:space="preserve">The </w:t>
      </w:r>
      <w:r w:rsidR="2D8BB4B3" w:rsidRPr="2FC1AB7B">
        <w:rPr>
          <w:rFonts w:eastAsia="Calibri"/>
          <w:color w:val="000000" w:themeColor="text1"/>
          <w:sz w:val="22"/>
          <w:szCs w:val="22"/>
        </w:rPr>
        <w:t>D</w:t>
      </w:r>
      <w:r w:rsidR="34AC4223" w:rsidRPr="2FC1AB7B">
        <w:rPr>
          <w:rFonts w:eastAsia="Calibri"/>
          <w:color w:val="000000" w:themeColor="text1"/>
          <w:sz w:val="22"/>
          <w:szCs w:val="22"/>
        </w:rPr>
        <w:t>epartment</w:t>
      </w:r>
      <w:r w:rsidRPr="26611CF0">
        <w:rPr>
          <w:rFonts w:eastAsia="Calibri"/>
          <w:color w:val="000000" w:themeColor="text1"/>
          <w:sz w:val="22"/>
          <w:szCs w:val="22"/>
        </w:rPr>
        <w:t xml:space="preserve"> anticipates costs for the </w:t>
      </w:r>
      <w:r w:rsidR="00F413B9">
        <w:rPr>
          <w:rFonts w:eastAsia="Calibri"/>
          <w:color w:val="000000" w:themeColor="text1"/>
          <w:sz w:val="22"/>
          <w:szCs w:val="22"/>
        </w:rPr>
        <w:t xml:space="preserve">Radioactive Materials </w:t>
      </w:r>
      <w:r w:rsidRPr="26611CF0">
        <w:rPr>
          <w:rFonts w:eastAsia="Calibri"/>
          <w:color w:val="000000" w:themeColor="text1"/>
          <w:sz w:val="22"/>
          <w:szCs w:val="22"/>
        </w:rPr>
        <w:t>program personnel to increase by three percent annually. Cost increases are primarily due to inflation for personnel-related costs</w:t>
      </w:r>
      <w:r w:rsidR="21ADD1B9" w:rsidRPr="26611CF0">
        <w:rPr>
          <w:rFonts w:eastAsia="Calibri"/>
          <w:color w:val="000000" w:themeColor="text1"/>
          <w:sz w:val="22"/>
          <w:szCs w:val="22"/>
        </w:rPr>
        <w:t xml:space="preserve">. </w:t>
      </w:r>
      <w:r w:rsidR="56371707" w:rsidRPr="26611CF0">
        <w:rPr>
          <w:noProof/>
          <w:sz w:val="22"/>
          <w:szCs w:val="22"/>
        </w:rPr>
        <w:t xml:space="preserve">The </w:t>
      </w:r>
      <w:r w:rsidR="00F413B9">
        <w:rPr>
          <w:noProof/>
          <w:sz w:val="22"/>
          <w:szCs w:val="22"/>
        </w:rPr>
        <w:t xml:space="preserve">Radioactive Materials </w:t>
      </w:r>
      <w:r w:rsidR="56371707" w:rsidRPr="26611CF0">
        <w:rPr>
          <w:noProof/>
          <w:sz w:val="22"/>
          <w:szCs w:val="22"/>
        </w:rPr>
        <w:t xml:space="preserve">program needs </w:t>
      </w:r>
      <w:r w:rsidR="56371707" w:rsidRPr="26611CF0">
        <w:rPr>
          <w:sz w:val="22"/>
          <w:szCs w:val="22"/>
        </w:rPr>
        <w:t xml:space="preserve">a fee adjustment to address the cost-of-living adjustments made in the 2025-2027 state budget (ESSB 5167) and </w:t>
      </w:r>
      <w:r w:rsidR="25ECC0E3" w:rsidRPr="26611CF0">
        <w:rPr>
          <w:rFonts w:eastAsia="Calibri"/>
          <w:color w:val="000000" w:themeColor="text1"/>
          <w:sz w:val="22"/>
          <w:szCs w:val="22"/>
        </w:rPr>
        <w:t>a</w:t>
      </w:r>
      <w:r w:rsidR="2E914F08" w:rsidRPr="26611CF0">
        <w:rPr>
          <w:rFonts w:eastAsia="Calibri"/>
          <w:color w:val="000000" w:themeColor="text1"/>
          <w:sz w:val="22"/>
          <w:szCs w:val="22"/>
        </w:rPr>
        <w:t xml:space="preserve">dditional </w:t>
      </w:r>
      <w:r w:rsidR="1FA25775" w:rsidRPr="26611CF0">
        <w:rPr>
          <w:rFonts w:eastAsia="Calibri"/>
          <w:color w:val="000000" w:themeColor="text1"/>
          <w:sz w:val="22"/>
          <w:szCs w:val="22"/>
        </w:rPr>
        <w:t>personnel-related</w:t>
      </w:r>
      <w:r w:rsidR="46DC546B" w:rsidRPr="26611CF0">
        <w:rPr>
          <w:rFonts w:eastAsia="Calibri"/>
          <w:color w:val="000000" w:themeColor="text1"/>
          <w:sz w:val="22"/>
          <w:szCs w:val="22"/>
        </w:rPr>
        <w:t xml:space="preserve"> costs for 1 FTE- </w:t>
      </w:r>
      <w:r w:rsidR="42237E49" w:rsidRPr="26611CF0">
        <w:rPr>
          <w:rFonts w:eastAsia="Calibri"/>
          <w:color w:val="000000" w:themeColor="text1"/>
          <w:sz w:val="22"/>
          <w:szCs w:val="22"/>
        </w:rPr>
        <w:t>Radiation Health Physicist</w:t>
      </w:r>
      <w:r w:rsidR="1405402E" w:rsidRPr="26611CF0">
        <w:rPr>
          <w:sz w:val="22"/>
          <w:szCs w:val="22"/>
        </w:rPr>
        <w:t>.</w:t>
      </w:r>
      <w:r w:rsidR="1405402E">
        <w:t xml:space="preserve"> </w:t>
      </w:r>
    </w:p>
    <w:p w14:paraId="4F1BCB7E" w14:textId="3C93C4DB" w:rsidR="00626F92" w:rsidRPr="00125C98" w:rsidRDefault="00B7053F" w:rsidP="006A5BBE">
      <w:pPr>
        <w:spacing w:after="0"/>
        <w:rPr>
          <w:b/>
          <w:bCs/>
          <w:sz w:val="22"/>
          <w:szCs w:val="22"/>
        </w:rPr>
      </w:pPr>
      <w:r w:rsidRPr="00125C98">
        <w:rPr>
          <w:b/>
          <w:bCs/>
          <w:sz w:val="22"/>
          <w:szCs w:val="22"/>
        </w:rPr>
        <w:t>Fee</w:t>
      </w:r>
      <w:r w:rsidR="00626F92" w:rsidRPr="00125C98">
        <w:rPr>
          <w:b/>
          <w:bCs/>
          <w:sz w:val="22"/>
          <w:szCs w:val="22"/>
        </w:rPr>
        <w:t xml:space="preserve"> Reserve</w:t>
      </w:r>
    </w:p>
    <w:p w14:paraId="1D57A789" w14:textId="18B25F11" w:rsidR="00E6367C" w:rsidRDefault="00E2021A" w:rsidP="00891B64">
      <w:pPr>
        <w:widowControl w:val="0"/>
        <w:spacing w:line="286" w:lineRule="auto"/>
        <w:mirrorIndents/>
        <w:rPr>
          <w:sz w:val="22"/>
          <w:szCs w:val="22"/>
        </w:rPr>
      </w:pPr>
      <w:r w:rsidRPr="4E3FC84D">
        <w:rPr>
          <w:rFonts w:eastAsia="Calibri"/>
          <w:color w:val="000000" w:themeColor="text1"/>
          <w:sz w:val="22"/>
          <w:szCs w:val="22"/>
        </w:rPr>
        <w:t>The</w:t>
      </w:r>
      <w:r w:rsidR="00F413B9">
        <w:rPr>
          <w:rFonts w:eastAsia="Calibri"/>
          <w:color w:val="000000" w:themeColor="text1"/>
          <w:sz w:val="22"/>
          <w:szCs w:val="22"/>
        </w:rPr>
        <w:t xml:space="preserve"> Department’s Radioactive Materials</w:t>
      </w:r>
      <w:r w:rsidRPr="4E3FC84D">
        <w:rPr>
          <w:rFonts w:eastAsia="Calibri"/>
          <w:color w:val="000000" w:themeColor="text1"/>
          <w:sz w:val="22"/>
          <w:szCs w:val="22"/>
        </w:rPr>
        <w:t xml:space="preserve"> program is not expected to generate enough revenue to cover costs over the next six years, which includes the necessary drawdown of the reserve fee balance.</w:t>
      </w:r>
      <w:r w:rsidR="00591899">
        <w:rPr>
          <w:sz w:val="22"/>
          <w:szCs w:val="22"/>
        </w:rPr>
        <w:t xml:space="preserve"> </w:t>
      </w:r>
      <w:r w:rsidR="00891B64">
        <w:rPr>
          <w:sz w:val="22"/>
          <w:szCs w:val="22"/>
        </w:rPr>
        <w:t>The chart below shows actual revenue and expenditures from FY 201</w:t>
      </w:r>
      <w:r w:rsidR="004606AB">
        <w:rPr>
          <w:sz w:val="22"/>
          <w:szCs w:val="22"/>
        </w:rPr>
        <w:t>9</w:t>
      </w:r>
      <w:r w:rsidR="00891B64">
        <w:rPr>
          <w:sz w:val="22"/>
          <w:szCs w:val="22"/>
        </w:rPr>
        <w:t xml:space="preserve"> through FY 202</w:t>
      </w:r>
      <w:r w:rsidR="004606AB">
        <w:rPr>
          <w:sz w:val="22"/>
          <w:szCs w:val="22"/>
        </w:rPr>
        <w:t>4</w:t>
      </w:r>
      <w:r w:rsidR="00891B64">
        <w:rPr>
          <w:sz w:val="22"/>
          <w:szCs w:val="22"/>
        </w:rPr>
        <w:t>, and projected revenue and expenditures from FY 202</w:t>
      </w:r>
      <w:r w:rsidR="00820ACF">
        <w:rPr>
          <w:sz w:val="22"/>
          <w:szCs w:val="22"/>
        </w:rPr>
        <w:t>5</w:t>
      </w:r>
      <w:r w:rsidR="00891B64">
        <w:rPr>
          <w:sz w:val="22"/>
          <w:szCs w:val="22"/>
        </w:rPr>
        <w:t xml:space="preserve"> through FY 20</w:t>
      </w:r>
      <w:r w:rsidR="00820ACF">
        <w:rPr>
          <w:sz w:val="22"/>
          <w:szCs w:val="22"/>
        </w:rPr>
        <w:t>31</w:t>
      </w:r>
      <w:r w:rsidR="00641134">
        <w:rPr>
          <w:sz w:val="22"/>
          <w:szCs w:val="22"/>
        </w:rPr>
        <w:t xml:space="preserve">. </w:t>
      </w:r>
      <w:r w:rsidR="00491AC4" w:rsidRPr="00491AC4">
        <w:rPr>
          <w:noProof/>
          <w:sz w:val="22"/>
          <w:szCs w:val="22"/>
        </w:rPr>
        <w:t xml:space="preserve"> </w:t>
      </w:r>
    </w:p>
    <w:p w14:paraId="71731BB0" w14:textId="6CFD5BDB" w:rsidR="00641134" w:rsidRDefault="00641134" w:rsidP="2FC1AB7B">
      <w:pPr>
        <w:widowControl w:val="0"/>
        <w:spacing w:line="286" w:lineRule="auto"/>
        <w:mirrorIndents/>
        <w:rPr>
          <w:sz w:val="22"/>
          <w:szCs w:val="22"/>
        </w:rPr>
      </w:pPr>
      <w:bookmarkStart w:id="2" w:name="_Toc198119590"/>
    </w:p>
    <w:p w14:paraId="3EA85938" w14:textId="77777777" w:rsidR="00591899" w:rsidRDefault="3D202FAB" w:rsidP="26611CF0">
      <w:pPr>
        <w:spacing w:after="0"/>
        <w:rPr>
          <w:b/>
          <w:bCs/>
          <w:sz w:val="24"/>
          <w:szCs w:val="24"/>
        </w:rPr>
      </w:pPr>
      <w:r>
        <w:rPr>
          <w:noProof/>
        </w:rPr>
        <w:lastRenderedPageBreak/>
        <w:drawing>
          <wp:inline distT="0" distB="0" distL="0" distR="0" wp14:anchorId="12CAE843" wp14:editId="40899B86">
            <wp:extent cx="4310062" cy="1611330"/>
            <wp:effectExtent l="0" t="0" r="0" b="8255"/>
            <wp:docPr id="1915245124" name="Picture 5" descr="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9">
                      <a:extLst>
                        <a:ext uri="{28A0092B-C50C-407E-A947-70E740481C1C}">
                          <a14:useLocalDpi xmlns:a14="http://schemas.microsoft.com/office/drawing/2010/main" val="0"/>
                        </a:ext>
                      </a:extLst>
                    </a:blip>
                    <a:stretch>
                      <a:fillRect/>
                    </a:stretch>
                  </pic:blipFill>
                  <pic:spPr>
                    <a:xfrm>
                      <a:off x="0" y="0"/>
                      <a:ext cx="4310062" cy="1611330"/>
                    </a:xfrm>
                    <a:prstGeom prst="rect">
                      <a:avLst/>
                    </a:prstGeom>
                  </pic:spPr>
                </pic:pic>
              </a:graphicData>
            </a:graphic>
          </wp:inline>
        </w:drawing>
      </w:r>
    </w:p>
    <w:p w14:paraId="774CDEDF" w14:textId="77777777" w:rsidR="00591899" w:rsidRDefault="00591899" w:rsidP="26611CF0">
      <w:pPr>
        <w:spacing w:after="0"/>
        <w:rPr>
          <w:b/>
          <w:bCs/>
          <w:sz w:val="24"/>
          <w:szCs w:val="24"/>
        </w:rPr>
      </w:pPr>
    </w:p>
    <w:p w14:paraId="762F9F13" w14:textId="43A04A3D" w:rsidR="00641134" w:rsidRPr="00BD173D" w:rsidRDefault="75A8255E" w:rsidP="00BD173D">
      <w:pPr>
        <w:pStyle w:val="NoSpacing"/>
        <w:rPr>
          <w:b/>
          <w:bCs/>
          <w:sz w:val="24"/>
          <w:szCs w:val="24"/>
        </w:rPr>
      </w:pPr>
      <w:r w:rsidRPr="00BD173D">
        <w:rPr>
          <w:b/>
          <w:bCs/>
          <w:sz w:val="24"/>
          <w:szCs w:val="24"/>
        </w:rPr>
        <w:t>Fee Proposal</w:t>
      </w:r>
      <w:bookmarkEnd w:id="2"/>
      <w:r w:rsidR="4ACFAF70" w:rsidRPr="00BD173D">
        <w:rPr>
          <w:b/>
          <w:bCs/>
          <w:sz w:val="24"/>
          <w:szCs w:val="24"/>
        </w:rPr>
        <w:t xml:space="preserve"> </w:t>
      </w:r>
    </w:p>
    <w:p w14:paraId="649B9F11" w14:textId="4B6D1472" w:rsidR="00641134" w:rsidRDefault="00765C74" w:rsidP="00641134">
      <w:pPr>
        <w:spacing w:after="0"/>
        <w:rPr>
          <w:sz w:val="22"/>
          <w:szCs w:val="22"/>
        </w:rPr>
      </w:pPr>
      <w:r w:rsidRPr="2FC1AB7B">
        <w:rPr>
          <w:sz w:val="22"/>
          <w:szCs w:val="22"/>
        </w:rPr>
        <w:t xml:space="preserve">To </w:t>
      </w:r>
      <w:r w:rsidR="00591899" w:rsidRPr="2FC1AB7B">
        <w:rPr>
          <w:sz w:val="22"/>
          <w:szCs w:val="22"/>
        </w:rPr>
        <w:t xml:space="preserve">address cost-of-living adjustments made in the 2025-2027 state budget (ESSB 5167) and additional personnel related costs for 1 FTE- Radiation Health Physicist, and </w:t>
      </w:r>
      <w:r w:rsidR="00E270B5" w:rsidRPr="00591899">
        <w:rPr>
          <w:sz w:val="22"/>
          <w:szCs w:val="22"/>
        </w:rPr>
        <w:t>bring</w:t>
      </w:r>
      <w:r w:rsidR="00E270B5">
        <w:rPr>
          <w:sz w:val="22"/>
          <w:szCs w:val="22"/>
        </w:rPr>
        <w:t xml:space="preserve"> </w:t>
      </w:r>
      <w:r w:rsidRPr="00D75294">
        <w:rPr>
          <w:sz w:val="22"/>
          <w:szCs w:val="22"/>
        </w:rPr>
        <w:t xml:space="preserve">the </w:t>
      </w:r>
      <w:r w:rsidR="2D8BB4B3" w:rsidRPr="2FC1AB7B">
        <w:rPr>
          <w:sz w:val="22"/>
          <w:szCs w:val="22"/>
        </w:rPr>
        <w:t>r</w:t>
      </w:r>
      <w:r w:rsidR="33A2CB80" w:rsidRPr="2FC1AB7B">
        <w:rPr>
          <w:sz w:val="22"/>
          <w:szCs w:val="22"/>
        </w:rPr>
        <w:t xml:space="preserve">adioactive </w:t>
      </w:r>
      <w:r w:rsidR="2D8BB4B3" w:rsidRPr="2FC1AB7B">
        <w:rPr>
          <w:sz w:val="22"/>
          <w:szCs w:val="22"/>
        </w:rPr>
        <w:t>m</w:t>
      </w:r>
      <w:r w:rsidR="33A2CB80" w:rsidRPr="2FC1AB7B">
        <w:rPr>
          <w:sz w:val="22"/>
          <w:szCs w:val="22"/>
        </w:rPr>
        <w:t>aterials</w:t>
      </w:r>
      <w:r w:rsidRPr="00D75294">
        <w:rPr>
          <w:sz w:val="22"/>
          <w:szCs w:val="22"/>
        </w:rPr>
        <w:t xml:space="preserve"> f</w:t>
      </w:r>
      <w:r w:rsidR="00B7053F">
        <w:rPr>
          <w:sz w:val="22"/>
          <w:szCs w:val="22"/>
        </w:rPr>
        <w:t>ee</w:t>
      </w:r>
      <w:r w:rsidRPr="00D75294">
        <w:rPr>
          <w:sz w:val="22"/>
          <w:szCs w:val="22"/>
        </w:rPr>
        <w:t xml:space="preserve"> balance into alignment with requirements, the following fees are </w:t>
      </w:r>
      <w:r w:rsidR="0048521C">
        <w:rPr>
          <w:sz w:val="22"/>
          <w:szCs w:val="22"/>
        </w:rPr>
        <w:t>proposed</w:t>
      </w:r>
      <w:r w:rsidR="009E4624">
        <w:rPr>
          <w:sz w:val="22"/>
          <w:szCs w:val="22"/>
        </w:rPr>
        <w:t>:</w:t>
      </w:r>
    </w:p>
    <w:p w14:paraId="05CB0203" w14:textId="4674DF69" w:rsidR="00A877B8" w:rsidRPr="00641134" w:rsidRDefault="00A877B8" w:rsidP="2FC1AB7B">
      <w:pPr>
        <w:spacing w:after="0"/>
        <w:rPr>
          <w:b/>
          <w:bCs/>
          <w:sz w:val="24"/>
          <w:szCs w:val="24"/>
        </w:rPr>
      </w:pPr>
    </w:p>
    <w:tbl>
      <w:tblPr>
        <w:tblW w:w="0" w:type="auto"/>
        <w:tblLayout w:type="fixed"/>
        <w:tblLook w:val="06A0" w:firstRow="1" w:lastRow="0" w:firstColumn="1" w:lastColumn="0" w:noHBand="1" w:noVBand="1"/>
      </w:tblPr>
      <w:tblGrid>
        <w:gridCol w:w="2021"/>
        <w:gridCol w:w="1809"/>
        <w:gridCol w:w="3051"/>
        <w:gridCol w:w="1238"/>
        <w:gridCol w:w="1239"/>
      </w:tblGrid>
      <w:tr w:rsidR="2FC1AB7B" w14:paraId="445874E1" w14:textId="77777777" w:rsidTr="2FC1AB7B">
        <w:trPr>
          <w:trHeight w:val="360"/>
        </w:trPr>
        <w:tc>
          <w:tcPr>
            <w:tcW w:w="9358"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3CCEB"/>
            <w:tcMar>
              <w:top w:w="15" w:type="dxa"/>
              <w:left w:w="15" w:type="dxa"/>
              <w:right w:w="15" w:type="dxa"/>
            </w:tcMar>
            <w:vAlign w:val="bottom"/>
          </w:tcPr>
          <w:p w14:paraId="46F66132" w14:textId="2CEF702F" w:rsidR="2FC1AB7B" w:rsidRDefault="2FC1AB7B" w:rsidP="2FC1AB7B">
            <w:pPr>
              <w:spacing w:after="0"/>
              <w:jc w:val="center"/>
              <w:rPr>
                <w:rFonts w:asciiTheme="minorHAnsi" w:eastAsiaTheme="minorEastAsia" w:hAnsiTheme="minorHAnsi" w:cstheme="minorBidi"/>
                <w:b/>
                <w:bCs/>
              </w:rPr>
            </w:pPr>
            <w:r w:rsidRPr="2FC1AB7B">
              <w:rPr>
                <w:rFonts w:asciiTheme="minorHAnsi" w:eastAsiaTheme="minorEastAsia" w:hAnsiTheme="minorHAnsi" w:cstheme="minorBidi"/>
                <w:b/>
                <w:bCs/>
              </w:rPr>
              <w:t>Fee Proposal</w:t>
            </w:r>
          </w:p>
        </w:tc>
      </w:tr>
      <w:tr w:rsidR="2FC1AB7B" w14:paraId="40A47A6C" w14:textId="77777777" w:rsidTr="003D1B04">
        <w:trPr>
          <w:trHeight w:val="380"/>
        </w:trPr>
        <w:tc>
          <w:tcPr>
            <w:tcW w:w="2021"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83CCEB"/>
            <w:tcMar>
              <w:top w:w="15" w:type="dxa"/>
              <w:left w:w="15" w:type="dxa"/>
              <w:right w:w="15" w:type="dxa"/>
            </w:tcMar>
            <w:vAlign w:val="center"/>
          </w:tcPr>
          <w:p w14:paraId="250D0B50" w14:textId="35379988" w:rsidR="2FC1AB7B" w:rsidRDefault="2FC1AB7B" w:rsidP="2FC1AB7B">
            <w:pPr>
              <w:spacing w:after="0"/>
              <w:jc w:val="center"/>
              <w:rPr>
                <w:rFonts w:asciiTheme="minorHAnsi" w:eastAsiaTheme="minorEastAsia" w:hAnsiTheme="minorHAnsi" w:cstheme="minorBidi"/>
                <w:b/>
                <w:bCs/>
                <w:color w:val="000000" w:themeColor="text1"/>
              </w:rPr>
            </w:pPr>
            <w:r w:rsidRPr="2FC1AB7B">
              <w:rPr>
                <w:rFonts w:asciiTheme="minorHAnsi" w:eastAsiaTheme="minorEastAsia" w:hAnsiTheme="minorHAnsi" w:cstheme="minorBidi"/>
                <w:b/>
                <w:bCs/>
                <w:color w:val="000000" w:themeColor="text1"/>
              </w:rPr>
              <w:t>Type</w:t>
            </w:r>
          </w:p>
        </w:tc>
        <w:tc>
          <w:tcPr>
            <w:tcW w:w="48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3CCEB"/>
            <w:tcMar>
              <w:top w:w="15" w:type="dxa"/>
              <w:left w:w="15" w:type="dxa"/>
              <w:right w:w="15" w:type="dxa"/>
            </w:tcMar>
            <w:vAlign w:val="center"/>
          </w:tcPr>
          <w:p w14:paraId="1B34DFE3" w14:textId="7EB0002C" w:rsidR="2FC1AB7B" w:rsidRDefault="2FC1AB7B" w:rsidP="2FC1AB7B">
            <w:pPr>
              <w:spacing w:after="0"/>
              <w:jc w:val="center"/>
              <w:rPr>
                <w:rFonts w:asciiTheme="minorHAnsi" w:eastAsiaTheme="minorEastAsia" w:hAnsiTheme="minorHAnsi" w:cstheme="minorBidi"/>
                <w:b/>
                <w:bCs/>
                <w:color w:val="000000" w:themeColor="text1"/>
              </w:rPr>
            </w:pPr>
            <w:r w:rsidRPr="2FC1AB7B">
              <w:rPr>
                <w:rFonts w:asciiTheme="minorHAnsi" w:eastAsiaTheme="minorEastAsia" w:hAnsiTheme="minorHAnsi" w:cstheme="minorBidi"/>
                <w:b/>
                <w:bCs/>
                <w:color w:val="000000" w:themeColor="text1"/>
              </w:rPr>
              <w:t>Title of Fee</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3CCEB"/>
            <w:tcMar>
              <w:top w:w="15" w:type="dxa"/>
              <w:left w:w="15" w:type="dxa"/>
              <w:right w:w="15" w:type="dxa"/>
            </w:tcMar>
            <w:vAlign w:val="center"/>
          </w:tcPr>
          <w:p w14:paraId="51AF5F2D" w14:textId="36DA81EA" w:rsidR="2FC1AB7B" w:rsidRDefault="2FC1AB7B" w:rsidP="2FC1AB7B">
            <w:pPr>
              <w:spacing w:after="0"/>
              <w:jc w:val="center"/>
              <w:rPr>
                <w:rFonts w:asciiTheme="minorHAnsi" w:eastAsiaTheme="minorEastAsia" w:hAnsiTheme="minorHAnsi" w:cstheme="minorBidi"/>
                <w:b/>
                <w:bCs/>
              </w:rPr>
            </w:pPr>
            <w:r w:rsidRPr="2FC1AB7B">
              <w:rPr>
                <w:rFonts w:asciiTheme="minorHAnsi" w:eastAsiaTheme="minorEastAsia" w:hAnsiTheme="minorHAnsi" w:cstheme="minorBidi"/>
                <w:b/>
                <w:bCs/>
              </w:rPr>
              <w:t>Current Fee</w:t>
            </w:r>
          </w:p>
        </w:tc>
        <w:tc>
          <w:tcPr>
            <w:tcW w:w="1239"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83CCEB"/>
            <w:tcMar>
              <w:top w:w="15" w:type="dxa"/>
              <w:left w:w="15" w:type="dxa"/>
              <w:right w:w="15" w:type="dxa"/>
            </w:tcMar>
            <w:vAlign w:val="center"/>
          </w:tcPr>
          <w:p w14:paraId="13217452" w14:textId="1C937481" w:rsidR="2FC1AB7B" w:rsidRDefault="2FC1AB7B" w:rsidP="2FC1AB7B">
            <w:pPr>
              <w:spacing w:after="0"/>
              <w:jc w:val="center"/>
              <w:rPr>
                <w:rFonts w:asciiTheme="minorHAnsi" w:eastAsiaTheme="minorEastAsia" w:hAnsiTheme="minorHAnsi" w:cstheme="minorBidi"/>
                <w:b/>
                <w:bCs/>
                <w:color w:val="000000" w:themeColor="text1"/>
              </w:rPr>
            </w:pPr>
            <w:r w:rsidRPr="2FC1AB7B">
              <w:rPr>
                <w:rFonts w:asciiTheme="minorHAnsi" w:eastAsiaTheme="minorEastAsia" w:hAnsiTheme="minorHAnsi" w:cstheme="minorBidi"/>
                <w:b/>
                <w:bCs/>
                <w:color w:val="000000" w:themeColor="text1"/>
              </w:rPr>
              <w:t>P</w:t>
            </w:r>
            <w:r w:rsidR="7005DD60" w:rsidRPr="2FC1AB7B">
              <w:rPr>
                <w:rFonts w:asciiTheme="minorHAnsi" w:eastAsiaTheme="minorEastAsia" w:hAnsiTheme="minorHAnsi" w:cstheme="minorBidi"/>
                <w:b/>
                <w:bCs/>
                <w:color w:val="000000" w:themeColor="text1"/>
              </w:rPr>
              <w:t>ro</w:t>
            </w:r>
            <w:r w:rsidRPr="2FC1AB7B">
              <w:rPr>
                <w:rFonts w:asciiTheme="minorHAnsi" w:eastAsiaTheme="minorEastAsia" w:hAnsiTheme="minorHAnsi" w:cstheme="minorBidi"/>
                <w:b/>
                <w:bCs/>
                <w:color w:val="000000" w:themeColor="text1"/>
              </w:rPr>
              <w:t>posed Fee</w:t>
            </w:r>
          </w:p>
        </w:tc>
      </w:tr>
      <w:tr w:rsidR="2FC1AB7B" w14:paraId="10FAE228" w14:textId="77777777" w:rsidTr="003D1B04">
        <w:trPr>
          <w:trHeight w:val="361"/>
        </w:trPr>
        <w:tc>
          <w:tcPr>
            <w:tcW w:w="2021" w:type="dxa"/>
            <w:vMerge w:val="restart"/>
            <w:tcBorders>
              <w:top w:val="single" w:sz="8"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D83AB03" w14:textId="64D27D22"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Specialized Radioactive Material License 1) Special categories</w:t>
            </w:r>
          </w:p>
        </w:tc>
        <w:tc>
          <w:tcPr>
            <w:tcW w:w="1809" w:type="dxa"/>
            <w:tcBorders>
              <w:top w:val="single" w:sz="8"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DFCEC35" w14:textId="0EA2B4DE"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NUCLEAR PHARMACY</w:t>
            </w:r>
          </w:p>
        </w:tc>
        <w:tc>
          <w:tcPr>
            <w:tcW w:w="3051" w:type="dxa"/>
            <w:tcBorders>
              <w:top w:val="single" w:sz="8"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8D4CA7C" w14:textId="7C509DEF"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Single Nuclear Pharmacy</w:t>
            </w:r>
          </w:p>
        </w:tc>
        <w:tc>
          <w:tcPr>
            <w:tcW w:w="1238" w:type="dxa"/>
            <w:tcBorders>
              <w:top w:val="single" w:sz="8"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DD1B11F" w14:textId="368E6881" w:rsidR="2FC1AB7B" w:rsidRDefault="2FC1AB7B" w:rsidP="003D1B04">
            <w:pPr>
              <w:spacing w:after="0"/>
              <w:jc w:val="center"/>
              <w:rPr>
                <w:rFonts w:asciiTheme="minorHAnsi" w:eastAsiaTheme="minorEastAsia" w:hAnsiTheme="minorHAnsi" w:cstheme="minorBidi"/>
              </w:rPr>
            </w:pPr>
            <w:r w:rsidRPr="2FC1AB7B">
              <w:rPr>
                <w:rFonts w:asciiTheme="minorHAnsi" w:eastAsiaTheme="minorEastAsia" w:hAnsiTheme="minorHAnsi" w:cstheme="minorBidi"/>
              </w:rPr>
              <w:t>$14,045</w:t>
            </w:r>
          </w:p>
        </w:tc>
        <w:tc>
          <w:tcPr>
            <w:tcW w:w="1239" w:type="dxa"/>
            <w:tcBorders>
              <w:top w:val="single" w:sz="8"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6A3F1C0C" w14:textId="4AB1E6AE" w:rsidR="2FC1AB7B" w:rsidRDefault="2FC1AB7B" w:rsidP="003D1B04">
            <w:pPr>
              <w:spacing w:after="0"/>
              <w:jc w:val="center"/>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$16,713</w:t>
            </w:r>
          </w:p>
        </w:tc>
      </w:tr>
      <w:tr w:rsidR="2FC1AB7B" w14:paraId="08AF2DB2" w14:textId="77777777" w:rsidTr="2FC1AB7B">
        <w:trPr>
          <w:trHeight w:val="300"/>
        </w:trPr>
        <w:tc>
          <w:tcPr>
            <w:tcW w:w="2021" w:type="dxa"/>
            <w:vMerge/>
            <w:tcBorders>
              <w:left w:val="single" w:sz="0" w:space="0" w:color="000000" w:themeColor="text1"/>
              <w:right w:val="single" w:sz="0" w:space="0" w:color="000000" w:themeColor="text1"/>
            </w:tcBorders>
            <w:vAlign w:val="center"/>
          </w:tcPr>
          <w:p w14:paraId="2BB17EB5" w14:textId="77777777" w:rsidR="007F769C" w:rsidRDefault="007F769C"/>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FB9B373" w14:textId="4FE3ABFD"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NUCLEAR LAUNDRY</w:t>
            </w:r>
          </w:p>
        </w:tc>
        <w:tc>
          <w:tcPr>
            <w:tcW w:w="3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9ACC045" w14:textId="02B50723"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Single Nuclear Laundry</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1BA62FD" w14:textId="25EB6B3E" w:rsidR="2FC1AB7B" w:rsidRDefault="2FC1AB7B" w:rsidP="003D1B04">
            <w:pPr>
              <w:spacing w:after="0"/>
              <w:jc w:val="center"/>
              <w:rPr>
                <w:rFonts w:asciiTheme="minorHAnsi" w:eastAsiaTheme="minorEastAsia" w:hAnsiTheme="minorHAnsi" w:cstheme="minorBidi"/>
              </w:rPr>
            </w:pPr>
            <w:r w:rsidRPr="2FC1AB7B">
              <w:rPr>
                <w:rFonts w:asciiTheme="minorHAnsi" w:eastAsiaTheme="minorEastAsia" w:hAnsiTheme="minorHAnsi" w:cstheme="minorBidi"/>
              </w:rPr>
              <w:t>$23,952</w:t>
            </w:r>
          </w:p>
        </w:tc>
        <w:tc>
          <w:tcPr>
            <w:tcW w:w="123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6C405451" w14:textId="213A7C27" w:rsidR="2FC1AB7B" w:rsidRDefault="2FC1AB7B" w:rsidP="003D1B04">
            <w:pPr>
              <w:spacing w:after="0"/>
              <w:jc w:val="center"/>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$28,503</w:t>
            </w:r>
          </w:p>
        </w:tc>
      </w:tr>
      <w:tr w:rsidR="2FC1AB7B" w14:paraId="3594595C" w14:textId="77777777" w:rsidTr="2FC1AB7B">
        <w:trPr>
          <w:trHeight w:val="300"/>
        </w:trPr>
        <w:tc>
          <w:tcPr>
            <w:tcW w:w="2021" w:type="dxa"/>
            <w:vMerge/>
            <w:tcBorders>
              <w:left w:val="single" w:sz="0" w:space="0" w:color="000000" w:themeColor="text1"/>
              <w:right w:val="single" w:sz="0" w:space="0" w:color="000000" w:themeColor="text1"/>
            </w:tcBorders>
            <w:vAlign w:val="center"/>
          </w:tcPr>
          <w:p w14:paraId="496F7420" w14:textId="77777777" w:rsidR="007F769C" w:rsidRDefault="007F769C"/>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9401E45" w14:textId="52C9DA9E"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LARGE MANUFACTURER</w:t>
            </w:r>
          </w:p>
        </w:tc>
        <w:tc>
          <w:tcPr>
            <w:tcW w:w="3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EBBD930" w14:textId="129ECE29"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Single, more than 1 curie</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45A7174" w14:textId="5BB9B012" w:rsidR="2FC1AB7B" w:rsidRDefault="2FC1AB7B" w:rsidP="003D1B04">
            <w:pPr>
              <w:spacing w:after="0"/>
              <w:jc w:val="center"/>
              <w:rPr>
                <w:rFonts w:asciiTheme="minorHAnsi" w:eastAsiaTheme="minorEastAsia" w:hAnsiTheme="minorHAnsi" w:cstheme="minorBidi"/>
              </w:rPr>
            </w:pPr>
            <w:r w:rsidRPr="2FC1AB7B">
              <w:rPr>
                <w:rFonts w:asciiTheme="minorHAnsi" w:eastAsiaTheme="minorEastAsia" w:hAnsiTheme="minorHAnsi" w:cstheme="minorBidi"/>
              </w:rPr>
              <w:t>$23,952</w:t>
            </w:r>
          </w:p>
        </w:tc>
        <w:tc>
          <w:tcPr>
            <w:tcW w:w="123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1E7AC9E2" w14:textId="2A4746C8" w:rsidR="2FC1AB7B" w:rsidRDefault="2FC1AB7B" w:rsidP="003D1B04">
            <w:pPr>
              <w:spacing w:after="0"/>
              <w:jc w:val="center"/>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$28,503</w:t>
            </w:r>
          </w:p>
        </w:tc>
      </w:tr>
      <w:tr w:rsidR="2FC1AB7B" w14:paraId="5A2178CE" w14:textId="77777777" w:rsidTr="2FC1AB7B">
        <w:trPr>
          <w:trHeight w:val="300"/>
        </w:trPr>
        <w:tc>
          <w:tcPr>
            <w:tcW w:w="2021" w:type="dxa"/>
            <w:vMerge/>
            <w:tcBorders>
              <w:left w:val="single" w:sz="0" w:space="0" w:color="000000" w:themeColor="text1"/>
              <w:right w:val="single" w:sz="0" w:space="0" w:color="000000" w:themeColor="text1"/>
            </w:tcBorders>
            <w:vAlign w:val="center"/>
          </w:tcPr>
          <w:p w14:paraId="11D0A04E" w14:textId="77777777" w:rsidR="007F769C" w:rsidRDefault="007F769C"/>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5F614A6" w14:textId="29A2649D"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SMALL MANUFACTURER</w:t>
            </w:r>
          </w:p>
        </w:tc>
        <w:tc>
          <w:tcPr>
            <w:tcW w:w="3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D30DEB3" w14:textId="05D9E167"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Single, less than or = 1 curie</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715BF21" w14:textId="0B733C01" w:rsidR="2FC1AB7B" w:rsidRDefault="2FC1AB7B" w:rsidP="003D1B04">
            <w:pPr>
              <w:spacing w:after="0"/>
              <w:jc w:val="center"/>
              <w:rPr>
                <w:rFonts w:asciiTheme="minorHAnsi" w:eastAsiaTheme="minorEastAsia" w:hAnsiTheme="minorHAnsi" w:cstheme="minorBidi"/>
              </w:rPr>
            </w:pPr>
            <w:r w:rsidRPr="2FC1AB7B">
              <w:rPr>
                <w:rFonts w:asciiTheme="minorHAnsi" w:eastAsiaTheme="minorEastAsia" w:hAnsiTheme="minorHAnsi" w:cstheme="minorBidi"/>
              </w:rPr>
              <w:t>$8,392</w:t>
            </w:r>
          </w:p>
        </w:tc>
        <w:tc>
          <w:tcPr>
            <w:tcW w:w="123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0976EE96" w14:textId="2B302227" w:rsidR="2FC1AB7B" w:rsidRDefault="2FC1AB7B" w:rsidP="003D1B04">
            <w:pPr>
              <w:spacing w:after="0"/>
              <w:jc w:val="center"/>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$9,986</w:t>
            </w:r>
          </w:p>
        </w:tc>
      </w:tr>
      <w:tr w:rsidR="2FC1AB7B" w14:paraId="5611C773" w14:textId="77777777" w:rsidTr="2FC1AB7B">
        <w:trPr>
          <w:trHeight w:val="300"/>
        </w:trPr>
        <w:tc>
          <w:tcPr>
            <w:tcW w:w="2021" w:type="dxa"/>
            <w:vMerge/>
            <w:tcBorders>
              <w:left w:val="single" w:sz="0" w:space="0" w:color="000000" w:themeColor="text1"/>
              <w:right w:val="single" w:sz="0" w:space="0" w:color="000000" w:themeColor="text1"/>
            </w:tcBorders>
            <w:vAlign w:val="center"/>
          </w:tcPr>
          <w:p w14:paraId="388E938F" w14:textId="77777777" w:rsidR="007F769C" w:rsidRDefault="007F769C"/>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EDD1EFF" w14:textId="6B975E20"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N/A</w:t>
            </w:r>
          </w:p>
        </w:tc>
        <w:tc>
          <w:tcPr>
            <w:tcW w:w="3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ADC8A2F" w14:textId="6062A1C1" w:rsidR="2FC1AB7B" w:rsidRDefault="003D1B04" w:rsidP="2FC1AB7B">
            <w:pPr>
              <w:spacing w:after="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R</w:t>
            </w:r>
            <w:r w:rsidR="2FC1AB7B" w:rsidRPr="2FC1AB7B">
              <w:rPr>
                <w:rFonts w:asciiTheme="minorHAnsi" w:eastAsiaTheme="minorEastAsia" w:hAnsiTheme="minorHAnsi" w:cstheme="minorBidi"/>
                <w:color w:val="000000" w:themeColor="text1"/>
              </w:rPr>
              <w:t>edistribution</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BF21A9D" w14:textId="709AE9E9" w:rsidR="2FC1AB7B" w:rsidRDefault="2FC1AB7B" w:rsidP="003D1B04">
            <w:pPr>
              <w:spacing w:after="0"/>
              <w:jc w:val="center"/>
              <w:rPr>
                <w:rFonts w:asciiTheme="minorHAnsi" w:eastAsiaTheme="minorEastAsia" w:hAnsiTheme="minorHAnsi" w:cstheme="minorBidi"/>
              </w:rPr>
            </w:pPr>
            <w:r w:rsidRPr="2FC1AB7B">
              <w:rPr>
                <w:rFonts w:asciiTheme="minorHAnsi" w:eastAsiaTheme="minorEastAsia" w:hAnsiTheme="minorHAnsi" w:cstheme="minorBidi"/>
              </w:rPr>
              <w:t>$2,158</w:t>
            </w:r>
          </w:p>
        </w:tc>
        <w:tc>
          <w:tcPr>
            <w:tcW w:w="123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3D487DE5" w14:textId="37C64045" w:rsidR="2FC1AB7B" w:rsidRDefault="2FC1AB7B" w:rsidP="003D1B04">
            <w:pPr>
              <w:spacing w:after="0"/>
              <w:jc w:val="center"/>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$2,568</w:t>
            </w:r>
          </w:p>
        </w:tc>
      </w:tr>
      <w:tr w:rsidR="2FC1AB7B" w14:paraId="78CF8EEA" w14:textId="77777777" w:rsidTr="2FC1AB7B">
        <w:trPr>
          <w:trHeight w:val="300"/>
        </w:trPr>
        <w:tc>
          <w:tcPr>
            <w:tcW w:w="2021" w:type="dxa"/>
            <w:vMerge/>
            <w:tcBorders>
              <w:left w:val="single" w:sz="0" w:space="0" w:color="000000" w:themeColor="text1"/>
              <w:right w:val="single" w:sz="0" w:space="0" w:color="000000" w:themeColor="text1"/>
            </w:tcBorders>
            <w:vAlign w:val="center"/>
          </w:tcPr>
          <w:p w14:paraId="784D5180" w14:textId="77777777" w:rsidR="007F769C" w:rsidRDefault="007F769C"/>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A98225D" w14:textId="41DE5BA2"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DECONTAMINATION</w:t>
            </w:r>
          </w:p>
        </w:tc>
        <w:tc>
          <w:tcPr>
            <w:tcW w:w="3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EFD1583" w14:textId="497F0119" w:rsidR="2FC1AB7B" w:rsidRDefault="003D1B04" w:rsidP="2FC1AB7B">
            <w:pPr>
              <w:spacing w:after="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D</w:t>
            </w:r>
            <w:r w:rsidR="2FC1AB7B" w:rsidRPr="2FC1AB7B">
              <w:rPr>
                <w:rFonts w:asciiTheme="minorHAnsi" w:eastAsiaTheme="minorEastAsia" w:hAnsiTheme="minorHAnsi" w:cstheme="minorBidi"/>
                <w:color w:val="000000" w:themeColor="text1"/>
              </w:rPr>
              <w:t>econtamination</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A1FF2A5" w14:textId="4B9C5B41" w:rsidR="2FC1AB7B" w:rsidRDefault="2FC1AB7B" w:rsidP="003D1B04">
            <w:pPr>
              <w:spacing w:after="0"/>
              <w:jc w:val="center"/>
              <w:rPr>
                <w:rFonts w:asciiTheme="minorHAnsi" w:eastAsiaTheme="minorEastAsia" w:hAnsiTheme="minorHAnsi" w:cstheme="minorBidi"/>
              </w:rPr>
            </w:pPr>
            <w:r w:rsidRPr="2FC1AB7B">
              <w:rPr>
                <w:rFonts w:asciiTheme="minorHAnsi" w:eastAsiaTheme="minorEastAsia" w:hAnsiTheme="minorHAnsi" w:cstheme="minorBidi"/>
              </w:rPr>
              <w:t>$16,068</w:t>
            </w:r>
          </w:p>
        </w:tc>
        <w:tc>
          <w:tcPr>
            <w:tcW w:w="123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36F830FF" w14:textId="7E1168EC" w:rsidR="2FC1AB7B" w:rsidRDefault="2FC1AB7B" w:rsidP="003D1B04">
            <w:pPr>
              <w:spacing w:after="0"/>
              <w:jc w:val="center"/>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$19,121</w:t>
            </w:r>
          </w:p>
        </w:tc>
      </w:tr>
      <w:tr w:rsidR="2FC1AB7B" w14:paraId="79F7E742" w14:textId="77777777" w:rsidTr="2FC1AB7B">
        <w:trPr>
          <w:trHeight w:val="300"/>
        </w:trPr>
        <w:tc>
          <w:tcPr>
            <w:tcW w:w="2021" w:type="dxa"/>
            <w:vMerge/>
            <w:tcBorders>
              <w:left w:val="single" w:sz="0" w:space="0" w:color="000000" w:themeColor="text1"/>
              <w:right w:val="single" w:sz="0" w:space="0" w:color="000000" w:themeColor="text1"/>
            </w:tcBorders>
            <w:vAlign w:val="center"/>
          </w:tcPr>
          <w:p w14:paraId="1ED58692" w14:textId="77777777" w:rsidR="007F769C" w:rsidRDefault="007F769C"/>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ED12892" w14:textId="03BD3F88"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WASTE BROKER</w:t>
            </w:r>
          </w:p>
        </w:tc>
        <w:tc>
          <w:tcPr>
            <w:tcW w:w="3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BD194A3" w14:textId="2F940C23"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Waste brokerage</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27F6F1C" w14:textId="7CF321F6" w:rsidR="2FC1AB7B" w:rsidRDefault="2FC1AB7B" w:rsidP="003D1B04">
            <w:pPr>
              <w:spacing w:after="0"/>
              <w:jc w:val="center"/>
              <w:rPr>
                <w:rFonts w:asciiTheme="minorHAnsi" w:eastAsiaTheme="minorEastAsia" w:hAnsiTheme="minorHAnsi" w:cstheme="minorBidi"/>
              </w:rPr>
            </w:pPr>
            <w:r w:rsidRPr="2FC1AB7B">
              <w:rPr>
                <w:rFonts w:asciiTheme="minorHAnsi" w:eastAsiaTheme="minorEastAsia" w:hAnsiTheme="minorHAnsi" w:cstheme="minorBidi"/>
              </w:rPr>
              <w:t>$7,595</w:t>
            </w:r>
          </w:p>
        </w:tc>
        <w:tc>
          <w:tcPr>
            <w:tcW w:w="123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1B4230F8" w14:textId="1D4159ED" w:rsidR="2FC1AB7B" w:rsidRDefault="2FC1AB7B" w:rsidP="003D1B04">
            <w:pPr>
              <w:spacing w:after="0"/>
              <w:jc w:val="center"/>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$9,039</w:t>
            </w:r>
          </w:p>
        </w:tc>
      </w:tr>
      <w:tr w:rsidR="2FC1AB7B" w14:paraId="23D7CEC3" w14:textId="77777777" w:rsidTr="2FC1AB7B">
        <w:trPr>
          <w:trHeight w:val="300"/>
        </w:trPr>
        <w:tc>
          <w:tcPr>
            <w:tcW w:w="2021" w:type="dxa"/>
            <w:vMerge/>
            <w:tcBorders>
              <w:left w:val="single" w:sz="0" w:space="0" w:color="000000" w:themeColor="text1"/>
              <w:right w:val="single" w:sz="0" w:space="0" w:color="000000" w:themeColor="text1"/>
            </w:tcBorders>
            <w:vAlign w:val="center"/>
          </w:tcPr>
          <w:p w14:paraId="62D04803" w14:textId="77777777" w:rsidR="007F769C" w:rsidRDefault="007F769C"/>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A5BD416" w14:textId="17CA9F9C"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HEALTH PHYSICS</w:t>
            </w:r>
          </w:p>
        </w:tc>
        <w:tc>
          <w:tcPr>
            <w:tcW w:w="3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0892C2D" w14:textId="1E0592DE" w:rsidR="2FC1AB7B" w:rsidRDefault="003D1B04" w:rsidP="2FC1AB7B">
            <w:pPr>
              <w:spacing w:after="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P</w:t>
            </w:r>
            <w:r w:rsidR="2FC1AB7B" w:rsidRPr="2FC1AB7B">
              <w:rPr>
                <w:rFonts w:asciiTheme="minorHAnsi" w:eastAsiaTheme="minorEastAsia" w:hAnsiTheme="minorHAnsi" w:cstheme="minorBidi"/>
                <w:color w:val="000000" w:themeColor="text1"/>
              </w:rPr>
              <w:t>hysics service</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7162419" w14:textId="6F239231" w:rsidR="2FC1AB7B" w:rsidRDefault="2FC1AB7B" w:rsidP="003D1B04">
            <w:pPr>
              <w:spacing w:after="0"/>
              <w:jc w:val="center"/>
              <w:rPr>
                <w:rFonts w:asciiTheme="minorHAnsi" w:eastAsiaTheme="minorEastAsia" w:hAnsiTheme="minorHAnsi" w:cstheme="minorBidi"/>
              </w:rPr>
            </w:pPr>
            <w:r w:rsidRPr="2FC1AB7B">
              <w:rPr>
                <w:rFonts w:asciiTheme="minorHAnsi" w:eastAsiaTheme="minorEastAsia" w:hAnsiTheme="minorHAnsi" w:cstheme="minorBidi"/>
              </w:rPr>
              <w:t>$3,384</w:t>
            </w:r>
          </w:p>
        </w:tc>
        <w:tc>
          <w:tcPr>
            <w:tcW w:w="123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5A6B4909" w14:textId="66D4792A" w:rsidR="2FC1AB7B" w:rsidRDefault="2FC1AB7B" w:rsidP="003D1B04">
            <w:pPr>
              <w:spacing w:after="0"/>
              <w:jc w:val="center"/>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$4,027</w:t>
            </w:r>
          </w:p>
        </w:tc>
      </w:tr>
      <w:tr w:rsidR="2FC1AB7B" w14:paraId="08EB91A6" w14:textId="77777777" w:rsidTr="2FC1AB7B">
        <w:trPr>
          <w:trHeight w:val="300"/>
        </w:trPr>
        <w:tc>
          <w:tcPr>
            <w:tcW w:w="2021" w:type="dxa"/>
            <w:vMerge/>
            <w:tcBorders>
              <w:left w:val="single" w:sz="0" w:space="0" w:color="000000" w:themeColor="text1"/>
              <w:right w:val="single" w:sz="0" w:space="0" w:color="000000" w:themeColor="text1"/>
            </w:tcBorders>
            <w:vAlign w:val="center"/>
          </w:tcPr>
          <w:p w14:paraId="53C96388" w14:textId="77777777" w:rsidR="007F769C" w:rsidRDefault="007F769C"/>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022EE1E" w14:textId="2CD3CD36"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CIVIL DEFENSE</w:t>
            </w:r>
          </w:p>
        </w:tc>
        <w:tc>
          <w:tcPr>
            <w:tcW w:w="3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C16CAF7" w14:textId="6AE9755B" w:rsidR="2FC1AB7B" w:rsidRDefault="003D1B04" w:rsidP="2FC1AB7B">
            <w:pPr>
              <w:spacing w:after="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C</w:t>
            </w:r>
            <w:r w:rsidR="2FC1AB7B" w:rsidRPr="2FC1AB7B">
              <w:rPr>
                <w:rFonts w:asciiTheme="minorHAnsi" w:eastAsiaTheme="minorEastAsia" w:hAnsiTheme="minorHAnsi" w:cstheme="minorBidi"/>
                <w:color w:val="000000" w:themeColor="text1"/>
              </w:rPr>
              <w:t>ivil defense</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406BEE5" w14:textId="0039318E" w:rsidR="2FC1AB7B" w:rsidRDefault="2FC1AB7B" w:rsidP="003D1B04">
            <w:pPr>
              <w:spacing w:after="0"/>
              <w:jc w:val="center"/>
              <w:rPr>
                <w:rFonts w:asciiTheme="minorHAnsi" w:eastAsiaTheme="minorEastAsia" w:hAnsiTheme="minorHAnsi" w:cstheme="minorBidi"/>
              </w:rPr>
            </w:pPr>
            <w:r w:rsidRPr="2FC1AB7B">
              <w:rPr>
                <w:rFonts w:asciiTheme="minorHAnsi" w:eastAsiaTheme="minorEastAsia" w:hAnsiTheme="minorHAnsi" w:cstheme="minorBidi"/>
              </w:rPr>
              <w:t>$3,972</w:t>
            </w:r>
          </w:p>
        </w:tc>
        <w:tc>
          <w:tcPr>
            <w:tcW w:w="123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648ED795" w14:textId="74ACF747" w:rsidR="2FC1AB7B" w:rsidRDefault="2FC1AB7B" w:rsidP="003D1B04">
            <w:pPr>
              <w:spacing w:after="0"/>
              <w:jc w:val="center"/>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$4,727</w:t>
            </w:r>
          </w:p>
        </w:tc>
      </w:tr>
      <w:tr w:rsidR="2FC1AB7B" w14:paraId="21DAFA16" w14:textId="77777777" w:rsidTr="2FC1AB7B">
        <w:trPr>
          <w:trHeight w:val="300"/>
        </w:trPr>
        <w:tc>
          <w:tcPr>
            <w:tcW w:w="2021" w:type="dxa"/>
            <w:vMerge/>
            <w:tcBorders>
              <w:left w:val="single" w:sz="0" w:space="0" w:color="000000" w:themeColor="text1"/>
              <w:bottom w:val="single" w:sz="0" w:space="0" w:color="000000" w:themeColor="text1"/>
              <w:right w:val="single" w:sz="0" w:space="0" w:color="000000" w:themeColor="text1"/>
            </w:tcBorders>
            <w:vAlign w:val="center"/>
          </w:tcPr>
          <w:p w14:paraId="4EF21733" w14:textId="77777777" w:rsidR="007F769C" w:rsidRDefault="007F769C"/>
        </w:tc>
        <w:tc>
          <w:tcPr>
            <w:tcW w:w="1809" w:type="dxa"/>
            <w:tcBorders>
              <w:top w:val="single" w:sz="4" w:space="0" w:color="000000" w:themeColor="text1"/>
              <w:left w:val="single" w:sz="4" w:space="0" w:color="000000" w:themeColor="text1"/>
              <w:bottom w:val="nil"/>
              <w:right w:val="single" w:sz="4" w:space="0" w:color="000000" w:themeColor="text1"/>
            </w:tcBorders>
            <w:tcMar>
              <w:top w:w="15" w:type="dxa"/>
              <w:left w:w="15" w:type="dxa"/>
              <w:right w:w="15" w:type="dxa"/>
            </w:tcMar>
            <w:vAlign w:val="center"/>
          </w:tcPr>
          <w:p w14:paraId="313DC67F" w14:textId="34D6DDE6"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N/A</w:t>
            </w:r>
          </w:p>
        </w:tc>
        <w:tc>
          <w:tcPr>
            <w:tcW w:w="3051" w:type="dxa"/>
            <w:tcBorders>
              <w:top w:val="single" w:sz="4" w:space="0" w:color="000000" w:themeColor="text1"/>
              <w:left w:val="single" w:sz="4" w:space="0" w:color="000000" w:themeColor="text1"/>
              <w:bottom w:val="nil"/>
              <w:right w:val="single" w:sz="4" w:space="0" w:color="000000" w:themeColor="text1"/>
            </w:tcBorders>
            <w:tcMar>
              <w:top w:w="15" w:type="dxa"/>
              <w:left w:w="15" w:type="dxa"/>
              <w:right w:w="15" w:type="dxa"/>
            </w:tcMar>
            <w:vAlign w:val="center"/>
          </w:tcPr>
          <w:p w14:paraId="38422185" w14:textId="7C0EF943" w:rsidR="2FC1AB7B" w:rsidRDefault="003D1B04" w:rsidP="2FC1AB7B">
            <w:pPr>
              <w:spacing w:after="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S</w:t>
            </w:r>
            <w:r w:rsidR="2FC1AB7B" w:rsidRPr="2FC1AB7B">
              <w:rPr>
                <w:rFonts w:asciiTheme="minorHAnsi" w:eastAsiaTheme="minorEastAsia" w:hAnsiTheme="minorHAnsi" w:cstheme="minorBidi"/>
                <w:color w:val="000000" w:themeColor="text1"/>
              </w:rPr>
              <w:t>pecial nuclear</w:t>
            </w:r>
          </w:p>
        </w:tc>
        <w:tc>
          <w:tcPr>
            <w:tcW w:w="1238" w:type="dxa"/>
            <w:tcBorders>
              <w:top w:val="single" w:sz="4" w:space="0" w:color="000000" w:themeColor="text1"/>
              <w:left w:val="single" w:sz="4" w:space="0" w:color="000000" w:themeColor="text1"/>
              <w:bottom w:val="nil"/>
              <w:right w:val="single" w:sz="4" w:space="0" w:color="000000" w:themeColor="text1"/>
            </w:tcBorders>
            <w:tcMar>
              <w:top w:w="15" w:type="dxa"/>
              <w:left w:w="15" w:type="dxa"/>
              <w:right w:w="15" w:type="dxa"/>
            </w:tcMar>
            <w:vAlign w:val="bottom"/>
          </w:tcPr>
          <w:p w14:paraId="5B05C519" w14:textId="2A9763F1" w:rsidR="2FC1AB7B" w:rsidRDefault="2FC1AB7B" w:rsidP="003D1B04">
            <w:pPr>
              <w:spacing w:after="0"/>
              <w:jc w:val="center"/>
              <w:rPr>
                <w:rFonts w:asciiTheme="minorHAnsi" w:eastAsiaTheme="minorEastAsia" w:hAnsiTheme="minorHAnsi" w:cstheme="minorBidi"/>
              </w:rPr>
            </w:pPr>
            <w:r w:rsidRPr="2FC1AB7B">
              <w:rPr>
                <w:rFonts w:asciiTheme="minorHAnsi" w:eastAsiaTheme="minorEastAsia" w:hAnsiTheme="minorHAnsi" w:cstheme="minorBidi"/>
              </w:rPr>
              <w:t>$1,195</w:t>
            </w:r>
          </w:p>
        </w:tc>
        <w:tc>
          <w:tcPr>
            <w:tcW w:w="1239" w:type="dxa"/>
            <w:tcBorders>
              <w:top w:val="single" w:sz="4" w:space="0" w:color="000000" w:themeColor="text1"/>
              <w:left w:val="single" w:sz="4" w:space="0" w:color="000000" w:themeColor="text1"/>
              <w:bottom w:val="nil"/>
              <w:right w:val="single" w:sz="8" w:space="0" w:color="000000" w:themeColor="text1"/>
            </w:tcBorders>
            <w:tcMar>
              <w:top w:w="15" w:type="dxa"/>
              <w:left w:w="15" w:type="dxa"/>
              <w:right w:w="15" w:type="dxa"/>
            </w:tcMar>
            <w:vAlign w:val="bottom"/>
          </w:tcPr>
          <w:p w14:paraId="2F796D9A" w14:textId="513B92BE" w:rsidR="2FC1AB7B" w:rsidRDefault="2FC1AB7B" w:rsidP="003D1B04">
            <w:pPr>
              <w:spacing w:after="0"/>
              <w:jc w:val="center"/>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$1,422</w:t>
            </w:r>
          </w:p>
        </w:tc>
      </w:tr>
      <w:tr w:rsidR="2FC1AB7B" w14:paraId="63B7ED95" w14:textId="77777777" w:rsidTr="003D1B04">
        <w:trPr>
          <w:trHeight w:val="586"/>
        </w:trPr>
        <w:tc>
          <w:tcPr>
            <w:tcW w:w="2021" w:type="dxa"/>
            <w:vMerge w:val="restart"/>
            <w:tcBorders>
              <w:top w:val="single" w:sz="8"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43295C4" w14:textId="340D4D04"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Specialized Radioactive Material License 2) Broad scope categories</w:t>
            </w:r>
          </w:p>
        </w:tc>
        <w:tc>
          <w:tcPr>
            <w:tcW w:w="1809" w:type="dxa"/>
            <w:tcBorders>
              <w:top w:val="single" w:sz="8"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4781EC4" w14:textId="3428893E"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BIG BROAD</w:t>
            </w:r>
          </w:p>
        </w:tc>
        <w:tc>
          <w:tcPr>
            <w:tcW w:w="3051" w:type="dxa"/>
            <w:tcBorders>
              <w:top w:val="single" w:sz="8"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157A8A7" w14:textId="1C0B5861" w:rsidR="2FC1AB7B" w:rsidRDefault="003D1B04" w:rsidP="2FC1AB7B">
            <w:pPr>
              <w:spacing w:after="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A</w:t>
            </w:r>
            <w:r w:rsidR="2FC1AB7B" w:rsidRPr="2FC1AB7B">
              <w:rPr>
                <w:rFonts w:asciiTheme="minorHAnsi" w:eastAsiaTheme="minorEastAsia" w:hAnsiTheme="minorHAnsi" w:cstheme="minorBidi"/>
                <w:color w:val="000000" w:themeColor="text1"/>
              </w:rPr>
              <w:t>tomic numbers 3-83 max possession isotope &gt; 1 curie</w:t>
            </w:r>
          </w:p>
        </w:tc>
        <w:tc>
          <w:tcPr>
            <w:tcW w:w="1238" w:type="dxa"/>
            <w:tcBorders>
              <w:top w:val="single" w:sz="8"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ABAF5E0" w14:textId="757965DA" w:rsidR="2FC1AB7B" w:rsidRDefault="2FC1AB7B" w:rsidP="003D1B04">
            <w:pPr>
              <w:spacing w:after="0"/>
              <w:jc w:val="center"/>
              <w:rPr>
                <w:rFonts w:asciiTheme="minorHAnsi" w:eastAsiaTheme="minorEastAsia" w:hAnsiTheme="minorHAnsi" w:cstheme="minorBidi"/>
              </w:rPr>
            </w:pPr>
            <w:r w:rsidRPr="2FC1AB7B">
              <w:rPr>
                <w:rFonts w:asciiTheme="minorHAnsi" w:eastAsiaTheme="minorEastAsia" w:hAnsiTheme="minorHAnsi" w:cstheme="minorBidi"/>
              </w:rPr>
              <w:t>$47,537</w:t>
            </w:r>
          </w:p>
        </w:tc>
        <w:tc>
          <w:tcPr>
            <w:tcW w:w="1239" w:type="dxa"/>
            <w:tcBorders>
              <w:top w:val="single" w:sz="8"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37684829" w14:textId="7692426B" w:rsidR="2FC1AB7B" w:rsidRDefault="2FC1AB7B" w:rsidP="003D1B04">
            <w:pPr>
              <w:spacing w:after="0"/>
              <w:jc w:val="center"/>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$56,569</w:t>
            </w:r>
          </w:p>
        </w:tc>
      </w:tr>
      <w:tr w:rsidR="2FC1AB7B" w14:paraId="371602EB" w14:textId="77777777" w:rsidTr="2FC1AB7B">
        <w:trPr>
          <w:trHeight w:val="630"/>
        </w:trPr>
        <w:tc>
          <w:tcPr>
            <w:tcW w:w="2021" w:type="dxa"/>
            <w:vMerge/>
            <w:tcBorders>
              <w:left w:val="single" w:sz="0" w:space="0" w:color="000000" w:themeColor="text1"/>
              <w:right w:val="single" w:sz="0" w:space="0" w:color="000000" w:themeColor="text1"/>
            </w:tcBorders>
            <w:vAlign w:val="center"/>
          </w:tcPr>
          <w:p w14:paraId="3C9B78A7" w14:textId="77777777" w:rsidR="007F769C" w:rsidRDefault="007F769C"/>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36ACBD7" w14:textId="634BCBC1"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MEDIUM BROAD</w:t>
            </w:r>
          </w:p>
        </w:tc>
        <w:tc>
          <w:tcPr>
            <w:tcW w:w="3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3734C18" w14:textId="0D702FAA" w:rsidR="2FC1AB7B" w:rsidRDefault="003D1B04" w:rsidP="2FC1AB7B">
            <w:pPr>
              <w:spacing w:after="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A</w:t>
            </w:r>
            <w:r w:rsidR="2FC1AB7B" w:rsidRPr="2FC1AB7B">
              <w:rPr>
                <w:rFonts w:asciiTheme="minorHAnsi" w:eastAsiaTheme="minorEastAsia" w:hAnsiTheme="minorHAnsi" w:cstheme="minorBidi"/>
                <w:color w:val="000000" w:themeColor="text1"/>
              </w:rPr>
              <w:t>tomic numbers 3-83 max possession isotope &gt; .1 curie, less or = 1 curie</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63CE060" w14:textId="640B0BFD" w:rsidR="2FC1AB7B" w:rsidRDefault="2FC1AB7B" w:rsidP="003D1B04">
            <w:pPr>
              <w:spacing w:after="0"/>
              <w:jc w:val="center"/>
              <w:rPr>
                <w:rFonts w:asciiTheme="minorHAnsi" w:eastAsiaTheme="minorEastAsia" w:hAnsiTheme="minorHAnsi" w:cstheme="minorBidi"/>
              </w:rPr>
            </w:pPr>
            <w:r w:rsidRPr="2FC1AB7B">
              <w:rPr>
                <w:rFonts w:asciiTheme="minorHAnsi" w:eastAsiaTheme="minorEastAsia" w:hAnsiTheme="minorHAnsi" w:cstheme="minorBidi"/>
              </w:rPr>
              <w:t>$21,973</w:t>
            </w:r>
          </w:p>
        </w:tc>
        <w:tc>
          <w:tcPr>
            <w:tcW w:w="123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43533A43" w14:textId="70ACF685" w:rsidR="2FC1AB7B" w:rsidRDefault="2FC1AB7B" w:rsidP="003D1B04">
            <w:pPr>
              <w:spacing w:after="0"/>
              <w:jc w:val="center"/>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$26,147</w:t>
            </w:r>
          </w:p>
        </w:tc>
      </w:tr>
      <w:tr w:rsidR="2FC1AB7B" w14:paraId="48046B39" w14:textId="77777777" w:rsidTr="2FC1AB7B">
        <w:trPr>
          <w:trHeight w:val="525"/>
        </w:trPr>
        <w:tc>
          <w:tcPr>
            <w:tcW w:w="2021" w:type="dxa"/>
            <w:vMerge/>
            <w:tcBorders>
              <w:left w:val="single" w:sz="0" w:space="0" w:color="000000" w:themeColor="text1"/>
              <w:bottom w:val="single" w:sz="0" w:space="0" w:color="000000" w:themeColor="text1"/>
              <w:right w:val="single" w:sz="0" w:space="0" w:color="000000" w:themeColor="text1"/>
            </w:tcBorders>
            <w:vAlign w:val="center"/>
          </w:tcPr>
          <w:p w14:paraId="27EE9AE3" w14:textId="77777777" w:rsidR="007F769C" w:rsidRDefault="007F769C"/>
        </w:tc>
        <w:tc>
          <w:tcPr>
            <w:tcW w:w="1809" w:type="dxa"/>
            <w:tcBorders>
              <w:top w:val="single" w:sz="4" w:space="0" w:color="000000" w:themeColor="text1"/>
              <w:left w:val="single" w:sz="4" w:space="0" w:color="000000" w:themeColor="text1"/>
              <w:bottom w:val="nil"/>
              <w:right w:val="single" w:sz="4" w:space="0" w:color="000000" w:themeColor="text1"/>
            </w:tcBorders>
            <w:tcMar>
              <w:top w:w="15" w:type="dxa"/>
              <w:left w:w="15" w:type="dxa"/>
              <w:right w:w="15" w:type="dxa"/>
            </w:tcMar>
            <w:vAlign w:val="center"/>
          </w:tcPr>
          <w:p w14:paraId="05F0B633" w14:textId="0FB88A32"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SMALL BROAD</w:t>
            </w:r>
          </w:p>
        </w:tc>
        <w:tc>
          <w:tcPr>
            <w:tcW w:w="3051" w:type="dxa"/>
            <w:tcBorders>
              <w:top w:val="single" w:sz="4" w:space="0" w:color="000000" w:themeColor="text1"/>
              <w:left w:val="single" w:sz="4" w:space="0" w:color="000000" w:themeColor="text1"/>
              <w:bottom w:val="nil"/>
              <w:right w:val="single" w:sz="4" w:space="0" w:color="000000" w:themeColor="text1"/>
            </w:tcBorders>
            <w:tcMar>
              <w:top w:w="15" w:type="dxa"/>
              <w:left w:w="15" w:type="dxa"/>
              <w:right w:w="15" w:type="dxa"/>
            </w:tcMar>
            <w:vAlign w:val="center"/>
          </w:tcPr>
          <w:p w14:paraId="07971C24" w14:textId="1147E80B" w:rsidR="2FC1AB7B" w:rsidRDefault="003D1B04" w:rsidP="2FC1AB7B">
            <w:pPr>
              <w:spacing w:after="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A</w:t>
            </w:r>
            <w:r w:rsidR="2FC1AB7B" w:rsidRPr="2FC1AB7B">
              <w:rPr>
                <w:rFonts w:asciiTheme="minorHAnsi" w:eastAsiaTheme="minorEastAsia" w:hAnsiTheme="minorHAnsi" w:cstheme="minorBidi"/>
                <w:color w:val="000000" w:themeColor="text1"/>
              </w:rPr>
              <w:t>tomic numbers 3-83 max possession isotope less or = .1 curie</w:t>
            </w:r>
          </w:p>
        </w:tc>
        <w:tc>
          <w:tcPr>
            <w:tcW w:w="1238" w:type="dxa"/>
            <w:tcBorders>
              <w:top w:val="single" w:sz="4" w:space="0" w:color="000000" w:themeColor="text1"/>
              <w:left w:val="single" w:sz="4" w:space="0" w:color="000000" w:themeColor="text1"/>
              <w:bottom w:val="nil"/>
              <w:right w:val="single" w:sz="4" w:space="0" w:color="000000" w:themeColor="text1"/>
            </w:tcBorders>
            <w:tcMar>
              <w:top w:w="15" w:type="dxa"/>
              <w:left w:w="15" w:type="dxa"/>
              <w:right w:w="15" w:type="dxa"/>
            </w:tcMar>
            <w:vAlign w:val="bottom"/>
          </w:tcPr>
          <w:p w14:paraId="004DAD73" w14:textId="367A3EE2" w:rsidR="2FC1AB7B" w:rsidRDefault="2FC1AB7B" w:rsidP="003D1B04">
            <w:pPr>
              <w:spacing w:after="0"/>
              <w:jc w:val="center"/>
              <w:rPr>
                <w:rFonts w:asciiTheme="minorHAnsi" w:eastAsiaTheme="minorEastAsia" w:hAnsiTheme="minorHAnsi" w:cstheme="minorBidi"/>
              </w:rPr>
            </w:pPr>
            <w:r w:rsidRPr="2FC1AB7B">
              <w:rPr>
                <w:rFonts w:asciiTheme="minorHAnsi" w:eastAsiaTheme="minorEastAsia" w:hAnsiTheme="minorHAnsi" w:cstheme="minorBidi"/>
              </w:rPr>
              <w:t>$17,656</w:t>
            </w:r>
          </w:p>
        </w:tc>
        <w:tc>
          <w:tcPr>
            <w:tcW w:w="1239" w:type="dxa"/>
            <w:tcBorders>
              <w:top w:val="single" w:sz="4" w:space="0" w:color="000000" w:themeColor="text1"/>
              <w:left w:val="single" w:sz="4" w:space="0" w:color="000000" w:themeColor="text1"/>
              <w:bottom w:val="nil"/>
              <w:right w:val="single" w:sz="8" w:space="0" w:color="000000" w:themeColor="text1"/>
            </w:tcBorders>
            <w:tcMar>
              <w:top w:w="15" w:type="dxa"/>
              <w:left w:w="15" w:type="dxa"/>
              <w:right w:w="15" w:type="dxa"/>
            </w:tcMar>
            <w:vAlign w:val="bottom"/>
          </w:tcPr>
          <w:p w14:paraId="52584BF4" w14:textId="30876A12" w:rsidR="2FC1AB7B" w:rsidRDefault="2FC1AB7B" w:rsidP="003D1B04">
            <w:pPr>
              <w:spacing w:after="0"/>
              <w:jc w:val="center"/>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$21,011</w:t>
            </w:r>
          </w:p>
        </w:tc>
      </w:tr>
      <w:tr w:rsidR="2FC1AB7B" w14:paraId="55C7F355" w14:textId="77777777" w:rsidTr="2FC1AB7B">
        <w:trPr>
          <w:trHeight w:val="1170"/>
        </w:trPr>
        <w:tc>
          <w:tcPr>
            <w:tcW w:w="2021" w:type="dxa"/>
            <w:vMerge w:val="restart"/>
            <w:tcBorders>
              <w:top w:val="single" w:sz="8"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53ADC38" w14:textId="0C3C433C"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Specialized Radioactive Material License 3) Licensed not covered by any licenses 070-100</w:t>
            </w:r>
          </w:p>
        </w:tc>
        <w:tc>
          <w:tcPr>
            <w:tcW w:w="1809" w:type="dxa"/>
            <w:tcBorders>
              <w:top w:val="single" w:sz="8"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0C5A252" w14:textId="18E910C8"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OTHER NOT SPECIFIED</w:t>
            </w:r>
          </w:p>
        </w:tc>
        <w:tc>
          <w:tcPr>
            <w:tcW w:w="3051" w:type="dxa"/>
            <w:tcBorders>
              <w:top w:val="single" w:sz="8"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177FEED" w14:textId="2A183822"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Initial Application, considered a credit against future billing</w:t>
            </w:r>
          </w:p>
        </w:tc>
        <w:tc>
          <w:tcPr>
            <w:tcW w:w="1238" w:type="dxa"/>
            <w:tcBorders>
              <w:top w:val="single" w:sz="8"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CF0FDF2" w14:textId="55FD072F" w:rsidR="2FC1AB7B" w:rsidRDefault="2FC1AB7B" w:rsidP="003D1B04">
            <w:pPr>
              <w:spacing w:after="0"/>
              <w:jc w:val="center"/>
              <w:rPr>
                <w:rFonts w:asciiTheme="minorHAnsi" w:eastAsiaTheme="minorEastAsia" w:hAnsiTheme="minorHAnsi" w:cstheme="minorBidi"/>
              </w:rPr>
            </w:pPr>
            <w:r w:rsidRPr="2FC1AB7B">
              <w:rPr>
                <w:rFonts w:asciiTheme="minorHAnsi" w:eastAsiaTheme="minorEastAsia" w:hAnsiTheme="minorHAnsi" w:cstheme="minorBidi"/>
              </w:rPr>
              <w:t>$1,533</w:t>
            </w:r>
          </w:p>
        </w:tc>
        <w:tc>
          <w:tcPr>
            <w:tcW w:w="1239" w:type="dxa"/>
            <w:tcBorders>
              <w:top w:val="single" w:sz="8"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3E735589" w14:textId="7219BE87" w:rsidR="2FC1AB7B" w:rsidRDefault="2FC1AB7B" w:rsidP="003D1B04">
            <w:pPr>
              <w:spacing w:after="0"/>
              <w:jc w:val="center"/>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$1,824</w:t>
            </w:r>
          </w:p>
        </w:tc>
      </w:tr>
      <w:tr w:rsidR="2FC1AB7B" w14:paraId="6CB505E3" w14:textId="77777777" w:rsidTr="2FC1AB7B">
        <w:trPr>
          <w:trHeight w:val="540"/>
        </w:trPr>
        <w:tc>
          <w:tcPr>
            <w:tcW w:w="2021" w:type="dxa"/>
            <w:vMerge/>
            <w:tcBorders>
              <w:left w:val="single" w:sz="0" w:space="0" w:color="000000" w:themeColor="text1"/>
              <w:bottom w:val="single" w:sz="0" w:space="0" w:color="000000" w:themeColor="text1"/>
              <w:right w:val="single" w:sz="0" w:space="0" w:color="000000" w:themeColor="text1"/>
            </w:tcBorders>
            <w:vAlign w:val="center"/>
          </w:tcPr>
          <w:p w14:paraId="07FE3671" w14:textId="77777777" w:rsidR="007F769C" w:rsidRDefault="007F769C"/>
        </w:tc>
        <w:tc>
          <w:tcPr>
            <w:tcW w:w="1809" w:type="dxa"/>
            <w:tcBorders>
              <w:top w:val="single" w:sz="4" w:space="0" w:color="000000" w:themeColor="text1"/>
              <w:left w:val="single" w:sz="4" w:space="0" w:color="000000" w:themeColor="text1"/>
              <w:bottom w:val="nil"/>
              <w:right w:val="single" w:sz="4" w:space="0" w:color="000000" w:themeColor="text1"/>
            </w:tcBorders>
            <w:tcMar>
              <w:top w:w="15" w:type="dxa"/>
              <w:left w:w="15" w:type="dxa"/>
              <w:right w:w="15" w:type="dxa"/>
            </w:tcMar>
            <w:vAlign w:val="center"/>
          </w:tcPr>
          <w:p w14:paraId="6EC19CA7" w14:textId="690C7011"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N/A</w:t>
            </w:r>
          </w:p>
        </w:tc>
        <w:tc>
          <w:tcPr>
            <w:tcW w:w="3051" w:type="dxa"/>
            <w:tcBorders>
              <w:top w:val="single" w:sz="4" w:space="0" w:color="000000" w:themeColor="text1"/>
              <w:left w:val="single" w:sz="4" w:space="0" w:color="000000" w:themeColor="text1"/>
              <w:bottom w:val="nil"/>
              <w:right w:val="single" w:sz="4" w:space="0" w:color="000000" w:themeColor="text1"/>
            </w:tcBorders>
            <w:tcMar>
              <w:top w:w="15" w:type="dxa"/>
              <w:left w:w="15" w:type="dxa"/>
              <w:right w:w="15" w:type="dxa"/>
            </w:tcMar>
            <w:vAlign w:val="center"/>
          </w:tcPr>
          <w:p w14:paraId="4146ED62" w14:textId="08FBC040"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 xml:space="preserve">Direct billing time @ $189/hr.  issuing and </w:t>
            </w:r>
            <w:proofErr w:type="gramStart"/>
            <w:r w:rsidRPr="2FC1AB7B">
              <w:rPr>
                <w:rFonts w:asciiTheme="minorHAnsi" w:eastAsiaTheme="minorEastAsia" w:hAnsiTheme="minorHAnsi" w:cstheme="minorBidi"/>
                <w:color w:val="000000" w:themeColor="text1"/>
              </w:rPr>
              <w:t>maintain</w:t>
            </w:r>
            <w:proofErr w:type="gramEnd"/>
            <w:r w:rsidRPr="2FC1AB7B">
              <w:rPr>
                <w:rFonts w:asciiTheme="minorHAnsi" w:eastAsiaTheme="minorEastAsia" w:hAnsiTheme="minorHAnsi" w:cstheme="minorBidi"/>
                <w:color w:val="000000" w:themeColor="text1"/>
              </w:rPr>
              <w:t xml:space="preserve"> license &amp; services in WAC 246-254-120</w:t>
            </w:r>
          </w:p>
        </w:tc>
        <w:tc>
          <w:tcPr>
            <w:tcW w:w="1238" w:type="dxa"/>
            <w:tcBorders>
              <w:top w:val="single" w:sz="4" w:space="0" w:color="000000" w:themeColor="text1"/>
              <w:left w:val="single" w:sz="4" w:space="0" w:color="000000" w:themeColor="text1"/>
              <w:bottom w:val="nil"/>
              <w:right w:val="single" w:sz="4" w:space="0" w:color="000000" w:themeColor="text1"/>
            </w:tcBorders>
            <w:tcMar>
              <w:top w:w="15" w:type="dxa"/>
              <w:left w:w="15" w:type="dxa"/>
              <w:right w:w="15" w:type="dxa"/>
            </w:tcMar>
            <w:vAlign w:val="bottom"/>
          </w:tcPr>
          <w:p w14:paraId="3DDF03C4" w14:textId="60AF3807" w:rsidR="2FC1AB7B" w:rsidRDefault="2FC1AB7B" w:rsidP="003D1B04">
            <w:pPr>
              <w:spacing w:after="0"/>
              <w:jc w:val="center"/>
              <w:rPr>
                <w:rFonts w:asciiTheme="minorHAnsi" w:eastAsiaTheme="minorEastAsia" w:hAnsiTheme="minorHAnsi" w:cstheme="minorBidi"/>
              </w:rPr>
            </w:pPr>
            <w:r w:rsidRPr="2FC1AB7B">
              <w:rPr>
                <w:rFonts w:asciiTheme="minorHAnsi" w:eastAsiaTheme="minorEastAsia" w:hAnsiTheme="minorHAnsi" w:cstheme="minorBidi"/>
              </w:rPr>
              <w:t>$248</w:t>
            </w:r>
          </w:p>
        </w:tc>
        <w:tc>
          <w:tcPr>
            <w:tcW w:w="1239" w:type="dxa"/>
            <w:tcBorders>
              <w:top w:val="single" w:sz="4" w:space="0" w:color="000000" w:themeColor="text1"/>
              <w:left w:val="single" w:sz="4" w:space="0" w:color="000000" w:themeColor="text1"/>
              <w:bottom w:val="nil"/>
              <w:right w:val="single" w:sz="8" w:space="0" w:color="000000" w:themeColor="text1"/>
            </w:tcBorders>
            <w:tcMar>
              <w:top w:w="15" w:type="dxa"/>
              <w:left w:w="15" w:type="dxa"/>
              <w:right w:w="15" w:type="dxa"/>
            </w:tcMar>
            <w:vAlign w:val="bottom"/>
          </w:tcPr>
          <w:p w14:paraId="08AA7CF8" w14:textId="0FC669CA" w:rsidR="2FC1AB7B" w:rsidRDefault="2FC1AB7B" w:rsidP="003D1B04">
            <w:pPr>
              <w:spacing w:after="0"/>
              <w:jc w:val="center"/>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$295</w:t>
            </w:r>
          </w:p>
        </w:tc>
      </w:tr>
      <w:tr w:rsidR="2FC1AB7B" w14:paraId="7DD23989" w14:textId="77777777" w:rsidTr="2FC1AB7B">
        <w:trPr>
          <w:trHeight w:val="1170"/>
        </w:trPr>
        <w:tc>
          <w:tcPr>
            <w:tcW w:w="2021" w:type="dxa"/>
            <w:vMerge w:val="restart"/>
            <w:tcBorders>
              <w:top w:val="single" w:sz="8"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A84942B" w14:textId="7367773D"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Specialized Radioactive Material License 4) waste processing</w:t>
            </w:r>
          </w:p>
        </w:tc>
        <w:tc>
          <w:tcPr>
            <w:tcW w:w="1809" w:type="dxa"/>
            <w:tcBorders>
              <w:top w:val="single" w:sz="8"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2740F44" w14:textId="5ED264E7"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N/A</w:t>
            </w:r>
          </w:p>
        </w:tc>
        <w:tc>
          <w:tcPr>
            <w:tcW w:w="3051" w:type="dxa"/>
            <w:tcBorders>
              <w:top w:val="single" w:sz="8"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0B03DDA" w14:textId="30E75AAD" w:rsidR="2FC1AB7B" w:rsidRDefault="003D1B04" w:rsidP="2FC1AB7B">
            <w:pPr>
              <w:spacing w:after="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N</w:t>
            </w:r>
            <w:r w:rsidR="2FC1AB7B" w:rsidRPr="2FC1AB7B">
              <w:rPr>
                <w:rFonts w:asciiTheme="minorHAnsi" w:eastAsiaTheme="minorEastAsia" w:hAnsiTheme="minorHAnsi" w:cstheme="minorBidi"/>
                <w:color w:val="000000" w:themeColor="text1"/>
              </w:rPr>
              <w:t>on</w:t>
            </w:r>
            <w:r>
              <w:rPr>
                <w:rFonts w:asciiTheme="minorHAnsi" w:eastAsiaTheme="minorEastAsia" w:hAnsiTheme="minorHAnsi" w:cstheme="minorBidi"/>
                <w:color w:val="000000" w:themeColor="text1"/>
              </w:rPr>
              <w:t>-</w:t>
            </w:r>
            <w:r w:rsidR="2FC1AB7B" w:rsidRPr="2FC1AB7B">
              <w:rPr>
                <w:rFonts w:asciiTheme="minorHAnsi" w:eastAsiaTheme="minorEastAsia" w:hAnsiTheme="minorHAnsi" w:cstheme="minorBidi"/>
                <w:color w:val="000000" w:themeColor="text1"/>
              </w:rPr>
              <w:t xml:space="preserve">refundable initial application fee new license, credited toward </w:t>
            </w:r>
            <w:r>
              <w:rPr>
                <w:rFonts w:asciiTheme="minorHAnsi" w:eastAsiaTheme="minorEastAsia" w:hAnsiTheme="minorHAnsi" w:cstheme="minorBidi"/>
                <w:color w:val="000000" w:themeColor="text1"/>
              </w:rPr>
              <w:t>quarterly</w:t>
            </w:r>
            <w:r w:rsidR="2FC1AB7B" w:rsidRPr="2FC1AB7B">
              <w:rPr>
                <w:rFonts w:asciiTheme="minorHAnsi" w:eastAsiaTheme="minorEastAsia" w:hAnsiTheme="minorHAnsi" w:cstheme="minorBidi"/>
                <w:color w:val="000000" w:themeColor="text1"/>
              </w:rPr>
              <w:t xml:space="preserve"> billing </w:t>
            </w:r>
          </w:p>
        </w:tc>
        <w:tc>
          <w:tcPr>
            <w:tcW w:w="1238" w:type="dxa"/>
            <w:tcBorders>
              <w:top w:val="single" w:sz="8"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641CC01" w14:textId="12C171BF" w:rsidR="2FC1AB7B" w:rsidRDefault="2FC1AB7B" w:rsidP="003D1B04">
            <w:pPr>
              <w:spacing w:after="0"/>
              <w:jc w:val="center"/>
              <w:rPr>
                <w:rFonts w:asciiTheme="minorHAnsi" w:eastAsiaTheme="minorEastAsia" w:hAnsiTheme="minorHAnsi" w:cstheme="minorBidi"/>
              </w:rPr>
            </w:pPr>
            <w:r w:rsidRPr="2FC1AB7B">
              <w:rPr>
                <w:rFonts w:asciiTheme="minorHAnsi" w:eastAsiaTheme="minorEastAsia" w:hAnsiTheme="minorHAnsi" w:cstheme="minorBidi"/>
              </w:rPr>
              <w:t>$24,523</w:t>
            </w:r>
          </w:p>
        </w:tc>
        <w:tc>
          <w:tcPr>
            <w:tcW w:w="1239" w:type="dxa"/>
            <w:tcBorders>
              <w:top w:val="single" w:sz="8"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4F10F2AF" w14:textId="78B64466" w:rsidR="2FC1AB7B" w:rsidRDefault="2FC1AB7B" w:rsidP="003D1B04">
            <w:pPr>
              <w:spacing w:after="0"/>
              <w:jc w:val="center"/>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$29,183</w:t>
            </w:r>
          </w:p>
        </w:tc>
      </w:tr>
      <w:tr w:rsidR="2FC1AB7B" w14:paraId="716B82C0" w14:textId="77777777" w:rsidTr="2FC1AB7B">
        <w:trPr>
          <w:trHeight w:val="615"/>
        </w:trPr>
        <w:tc>
          <w:tcPr>
            <w:tcW w:w="2021" w:type="dxa"/>
            <w:vMerge/>
            <w:tcBorders>
              <w:left w:val="single" w:sz="0" w:space="0" w:color="000000" w:themeColor="text1"/>
              <w:bottom w:val="single" w:sz="0" w:space="0" w:color="000000" w:themeColor="text1"/>
              <w:right w:val="single" w:sz="0" w:space="0" w:color="000000" w:themeColor="text1"/>
            </w:tcBorders>
            <w:vAlign w:val="center"/>
          </w:tcPr>
          <w:p w14:paraId="4B18CDF8" w14:textId="77777777" w:rsidR="007F769C" w:rsidRDefault="007F769C"/>
        </w:tc>
        <w:tc>
          <w:tcPr>
            <w:tcW w:w="1809" w:type="dxa"/>
            <w:tcBorders>
              <w:top w:val="single" w:sz="4" w:space="0" w:color="000000" w:themeColor="text1"/>
              <w:left w:val="single" w:sz="4" w:space="0" w:color="000000" w:themeColor="text1"/>
              <w:bottom w:val="nil"/>
              <w:right w:val="single" w:sz="4" w:space="0" w:color="000000" w:themeColor="text1"/>
            </w:tcBorders>
            <w:tcMar>
              <w:top w:w="15" w:type="dxa"/>
              <w:left w:w="15" w:type="dxa"/>
              <w:right w:w="15" w:type="dxa"/>
            </w:tcMar>
            <w:vAlign w:val="center"/>
          </w:tcPr>
          <w:p w14:paraId="58D048AA" w14:textId="70104E7D"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N/A</w:t>
            </w:r>
          </w:p>
        </w:tc>
        <w:tc>
          <w:tcPr>
            <w:tcW w:w="3051" w:type="dxa"/>
            <w:tcBorders>
              <w:top w:val="single" w:sz="4" w:space="0" w:color="000000" w:themeColor="text1"/>
              <w:left w:val="single" w:sz="4" w:space="0" w:color="000000" w:themeColor="text1"/>
              <w:bottom w:val="nil"/>
              <w:right w:val="single" w:sz="4" w:space="0" w:color="000000" w:themeColor="text1"/>
            </w:tcBorders>
            <w:tcMar>
              <w:top w:w="15" w:type="dxa"/>
              <w:left w:w="15" w:type="dxa"/>
              <w:right w:w="15" w:type="dxa"/>
            </w:tcMar>
            <w:vAlign w:val="center"/>
          </w:tcPr>
          <w:p w14:paraId="499D7401" w14:textId="40EB88A3"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Quarterly billing, actual billing for direct/indirect costs to dept</w:t>
            </w:r>
          </w:p>
        </w:tc>
        <w:tc>
          <w:tcPr>
            <w:tcW w:w="1238" w:type="dxa"/>
            <w:tcBorders>
              <w:top w:val="single" w:sz="4" w:space="0" w:color="000000" w:themeColor="text1"/>
              <w:left w:val="single" w:sz="4" w:space="0" w:color="000000" w:themeColor="text1"/>
              <w:bottom w:val="nil"/>
              <w:right w:val="single" w:sz="4" w:space="0" w:color="000000" w:themeColor="text1"/>
            </w:tcBorders>
            <w:tcMar>
              <w:top w:w="15" w:type="dxa"/>
              <w:left w:w="15" w:type="dxa"/>
              <w:right w:w="15" w:type="dxa"/>
            </w:tcMar>
            <w:vAlign w:val="bottom"/>
          </w:tcPr>
          <w:p w14:paraId="728ABB9F" w14:textId="036AE309" w:rsidR="2FC1AB7B" w:rsidRDefault="2FC1AB7B" w:rsidP="003D1B04">
            <w:pPr>
              <w:spacing w:after="0"/>
              <w:jc w:val="center"/>
              <w:rPr>
                <w:rFonts w:asciiTheme="minorHAnsi" w:eastAsiaTheme="minorEastAsia" w:hAnsiTheme="minorHAnsi" w:cstheme="minorBidi"/>
              </w:rPr>
            </w:pPr>
            <w:r w:rsidRPr="2FC1AB7B">
              <w:rPr>
                <w:rFonts w:asciiTheme="minorHAnsi" w:eastAsiaTheme="minorEastAsia" w:hAnsiTheme="minorHAnsi" w:cstheme="minorBidi"/>
              </w:rPr>
              <w:t>$248</w:t>
            </w:r>
          </w:p>
        </w:tc>
        <w:tc>
          <w:tcPr>
            <w:tcW w:w="1239" w:type="dxa"/>
            <w:tcBorders>
              <w:top w:val="single" w:sz="4" w:space="0" w:color="000000" w:themeColor="text1"/>
              <w:left w:val="single" w:sz="4" w:space="0" w:color="000000" w:themeColor="text1"/>
              <w:bottom w:val="nil"/>
              <w:right w:val="single" w:sz="8" w:space="0" w:color="000000" w:themeColor="text1"/>
            </w:tcBorders>
            <w:tcMar>
              <w:top w:w="15" w:type="dxa"/>
              <w:left w:w="15" w:type="dxa"/>
              <w:right w:w="15" w:type="dxa"/>
            </w:tcMar>
            <w:vAlign w:val="bottom"/>
          </w:tcPr>
          <w:p w14:paraId="1E61C48F" w14:textId="7BCB39D4" w:rsidR="2FC1AB7B" w:rsidRDefault="2FC1AB7B" w:rsidP="003D1B04">
            <w:pPr>
              <w:spacing w:after="0"/>
              <w:jc w:val="center"/>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$295</w:t>
            </w:r>
          </w:p>
        </w:tc>
      </w:tr>
      <w:tr w:rsidR="2FC1AB7B" w14:paraId="5241CABE" w14:textId="77777777" w:rsidTr="003D1B04">
        <w:trPr>
          <w:trHeight w:val="460"/>
        </w:trPr>
        <w:tc>
          <w:tcPr>
            <w:tcW w:w="2021" w:type="dxa"/>
            <w:vMerge w:val="restart"/>
            <w:tcBorders>
              <w:top w:val="single" w:sz="8"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F53FD3C" w14:textId="335883E3"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Medical &amp; veterinary Radioactive Materials Use</w:t>
            </w:r>
          </w:p>
        </w:tc>
        <w:tc>
          <w:tcPr>
            <w:tcW w:w="1809" w:type="dxa"/>
            <w:tcBorders>
              <w:top w:val="single" w:sz="8"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F561863" w14:textId="65EAC6A5"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MOBILE NUCLEAR MEDICINE</w:t>
            </w:r>
          </w:p>
        </w:tc>
        <w:tc>
          <w:tcPr>
            <w:tcW w:w="3051" w:type="dxa"/>
            <w:tcBorders>
              <w:top w:val="single" w:sz="8"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A48106C" w14:textId="4643E906" w:rsidR="2FC1AB7B" w:rsidRDefault="003D1B04" w:rsidP="2FC1AB7B">
            <w:pPr>
              <w:spacing w:after="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M</w:t>
            </w:r>
            <w:r w:rsidR="2FC1AB7B" w:rsidRPr="2FC1AB7B">
              <w:rPr>
                <w:rFonts w:asciiTheme="minorHAnsi" w:eastAsiaTheme="minorEastAsia" w:hAnsiTheme="minorHAnsi" w:cstheme="minorBidi"/>
                <w:color w:val="000000" w:themeColor="text1"/>
              </w:rPr>
              <w:t>obile nuclear medicine</w:t>
            </w:r>
          </w:p>
        </w:tc>
        <w:tc>
          <w:tcPr>
            <w:tcW w:w="1238" w:type="dxa"/>
            <w:tcBorders>
              <w:top w:val="single" w:sz="8"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C59B6E4" w14:textId="3E7680D0" w:rsidR="2FC1AB7B" w:rsidRDefault="2FC1AB7B" w:rsidP="003D1B04">
            <w:pPr>
              <w:spacing w:after="0"/>
              <w:jc w:val="center"/>
              <w:rPr>
                <w:rFonts w:asciiTheme="minorHAnsi" w:eastAsiaTheme="minorEastAsia" w:hAnsiTheme="minorHAnsi" w:cstheme="minorBidi"/>
              </w:rPr>
            </w:pPr>
            <w:r w:rsidRPr="2FC1AB7B">
              <w:rPr>
                <w:rFonts w:asciiTheme="minorHAnsi" w:eastAsiaTheme="minorEastAsia" w:hAnsiTheme="minorHAnsi" w:cstheme="minorBidi"/>
              </w:rPr>
              <w:t>$11,875</w:t>
            </w:r>
          </w:p>
        </w:tc>
        <w:tc>
          <w:tcPr>
            <w:tcW w:w="1239" w:type="dxa"/>
            <w:tcBorders>
              <w:top w:val="single" w:sz="8"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29DA5567" w14:textId="09152118" w:rsidR="2FC1AB7B" w:rsidRDefault="2FC1AB7B" w:rsidP="003D1B04">
            <w:pPr>
              <w:spacing w:after="0"/>
              <w:jc w:val="center"/>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$14,131</w:t>
            </w:r>
          </w:p>
        </w:tc>
      </w:tr>
      <w:tr w:rsidR="2FC1AB7B" w14:paraId="25C59E0E" w14:textId="77777777" w:rsidTr="2FC1AB7B">
        <w:trPr>
          <w:trHeight w:val="540"/>
        </w:trPr>
        <w:tc>
          <w:tcPr>
            <w:tcW w:w="2021" w:type="dxa"/>
            <w:vMerge/>
            <w:tcBorders>
              <w:left w:val="single" w:sz="0" w:space="0" w:color="000000" w:themeColor="text1"/>
              <w:bottom w:val="single" w:sz="0" w:space="0" w:color="000000" w:themeColor="text1"/>
              <w:right w:val="single" w:sz="0" w:space="0" w:color="000000" w:themeColor="text1"/>
            </w:tcBorders>
            <w:vAlign w:val="center"/>
          </w:tcPr>
          <w:p w14:paraId="5E1603FE" w14:textId="77777777" w:rsidR="007F769C" w:rsidRDefault="007F769C"/>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280BA1E" w14:textId="61A29BAC"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FULL DIAGNOSTIC</w:t>
            </w:r>
          </w:p>
        </w:tc>
        <w:tc>
          <w:tcPr>
            <w:tcW w:w="3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F924996" w14:textId="21924395" w:rsidR="2FC1AB7B" w:rsidRDefault="003D1B04" w:rsidP="2FC1AB7B">
            <w:pPr>
              <w:spacing w:after="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I</w:t>
            </w:r>
            <w:r w:rsidR="2FC1AB7B" w:rsidRPr="2FC1AB7B">
              <w:rPr>
                <w:rFonts w:asciiTheme="minorHAnsi" w:eastAsiaTheme="minorEastAsia" w:hAnsiTheme="minorHAnsi" w:cstheme="minorBidi"/>
                <w:color w:val="000000" w:themeColor="text1"/>
              </w:rPr>
              <w:t>maging and localization studies written directive not required</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39EC02B" w14:textId="0AA35A6E" w:rsidR="2FC1AB7B" w:rsidRDefault="2FC1AB7B" w:rsidP="003D1B04">
            <w:pPr>
              <w:spacing w:after="0"/>
              <w:jc w:val="center"/>
              <w:rPr>
                <w:rFonts w:asciiTheme="minorHAnsi" w:eastAsiaTheme="minorEastAsia" w:hAnsiTheme="minorHAnsi" w:cstheme="minorBidi"/>
              </w:rPr>
            </w:pPr>
            <w:r w:rsidRPr="2FC1AB7B">
              <w:rPr>
                <w:rFonts w:asciiTheme="minorHAnsi" w:eastAsiaTheme="minorEastAsia" w:hAnsiTheme="minorHAnsi" w:cstheme="minorBidi"/>
              </w:rPr>
              <w:t>$8,656</w:t>
            </w:r>
          </w:p>
        </w:tc>
        <w:tc>
          <w:tcPr>
            <w:tcW w:w="123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28DDD3B6" w14:textId="66A411FB" w:rsidR="2FC1AB7B" w:rsidRDefault="2FC1AB7B" w:rsidP="003D1B04">
            <w:pPr>
              <w:spacing w:after="0"/>
              <w:jc w:val="center"/>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$10,301</w:t>
            </w:r>
          </w:p>
        </w:tc>
      </w:tr>
      <w:tr w:rsidR="2FC1AB7B" w14:paraId="65097225" w14:textId="77777777" w:rsidTr="2FC1AB7B">
        <w:trPr>
          <w:trHeight w:val="300"/>
        </w:trPr>
        <w:tc>
          <w:tcPr>
            <w:tcW w:w="2021" w:type="dxa"/>
            <w:vMerge/>
            <w:tcBorders>
              <w:left w:val="single" w:sz="0" w:space="0" w:color="000000" w:themeColor="text1"/>
              <w:bottom w:val="single" w:sz="0" w:space="0" w:color="000000" w:themeColor="text1"/>
              <w:right w:val="single" w:sz="0" w:space="0" w:color="000000" w:themeColor="text1"/>
            </w:tcBorders>
            <w:vAlign w:val="center"/>
          </w:tcPr>
          <w:p w14:paraId="57B45E9E" w14:textId="77777777" w:rsidR="007F769C" w:rsidRDefault="007F769C"/>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291D088" w14:textId="550C671C"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N/A</w:t>
            </w:r>
          </w:p>
        </w:tc>
        <w:tc>
          <w:tcPr>
            <w:tcW w:w="3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7A61751" w14:textId="0003FD2A" w:rsidR="2FC1AB7B" w:rsidRDefault="003D1B04" w:rsidP="2FC1AB7B">
            <w:pPr>
              <w:spacing w:after="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U</w:t>
            </w:r>
            <w:r w:rsidR="2FC1AB7B" w:rsidRPr="2FC1AB7B">
              <w:rPr>
                <w:rFonts w:asciiTheme="minorHAnsi" w:eastAsiaTheme="minorEastAsia" w:hAnsiTheme="minorHAnsi" w:cstheme="minorBidi"/>
                <w:color w:val="000000" w:themeColor="text1"/>
              </w:rPr>
              <w:t>nsealed written directive required</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52BF4B7" w14:textId="3F52C837" w:rsidR="2FC1AB7B" w:rsidRDefault="2FC1AB7B" w:rsidP="003D1B04">
            <w:pPr>
              <w:spacing w:after="0"/>
              <w:jc w:val="center"/>
              <w:rPr>
                <w:rFonts w:asciiTheme="minorHAnsi" w:eastAsiaTheme="minorEastAsia" w:hAnsiTheme="minorHAnsi" w:cstheme="minorBidi"/>
              </w:rPr>
            </w:pPr>
            <w:r w:rsidRPr="2FC1AB7B">
              <w:rPr>
                <w:rFonts w:asciiTheme="minorHAnsi" w:eastAsiaTheme="minorEastAsia" w:hAnsiTheme="minorHAnsi" w:cstheme="minorBidi"/>
              </w:rPr>
              <w:t>$7,497</w:t>
            </w:r>
          </w:p>
        </w:tc>
        <w:tc>
          <w:tcPr>
            <w:tcW w:w="123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02E4EA7D" w14:textId="1E238CC7" w:rsidR="2FC1AB7B" w:rsidRDefault="2FC1AB7B" w:rsidP="003D1B04">
            <w:pPr>
              <w:spacing w:after="0"/>
              <w:jc w:val="center"/>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$8,922</w:t>
            </w:r>
          </w:p>
        </w:tc>
      </w:tr>
      <w:tr w:rsidR="2FC1AB7B" w14:paraId="62A94D45" w14:textId="77777777" w:rsidTr="2FC1AB7B">
        <w:trPr>
          <w:trHeight w:val="585"/>
        </w:trPr>
        <w:tc>
          <w:tcPr>
            <w:tcW w:w="2021" w:type="dxa"/>
            <w:vMerge/>
            <w:tcBorders>
              <w:left w:val="single" w:sz="0" w:space="0" w:color="000000" w:themeColor="text1"/>
              <w:right w:val="single" w:sz="0" w:space="0" w:color="000000" w:themeColor="text1"/>
            </w:tcBorders>
            <w:vAlign w:val="center"/>
          </w:tcPr>
          <w:p w14:paraId="5AF72FE6" w14:textId="77777777" w:rsidR="007F769C" w:rsidRDefault="007F769C"/>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D25C095" w14:textId="4F0D855B"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DIAGNOSTIC &amp; UNSEALED THERAPY</w:t>
            </w:r>
          </w:p>
        </w:tc>
        <w:tc>
          <w:tcPr>
            <w:tcW w:w="3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8CBB68D" w14:textId="78EAB444" w:rsidR="2FC1AB7B" w:rsidRDefault="003D1B04" w:rsidP="2FC1AB7B">
            <w:pPr>
              <w:spacing w:after="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I</w:t>
            </w:r>
            <w:r w:rsidR="2FC1AB7B" w:rsidRPr="2FC1AB7B">
              <w:rPr>
                <w:rFonts w:asciiTheme="minorHAnsi" w:eastAsiaTheme="minorEastAsia" w:hAnsiTheme="minorHAnsi" w:cstheme="minorBidi"/>
                <w:color w:val="000000" w:themeColor="text1"/>
              </w:rPr>
              <w:t>maging and localization studies, directive not required 246-240-157, written directive is required 246-240-201, manual brachytherapy</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FF5ECC1" w14:textId="54DC71A7" w:rsidR="2FC1AB7B" w:rsidRDefault="2FC1AB7B" w:rsidP="003D1B04">
            <w:pPr>
              <w:spacing w:after="0"/>
              <w:jc w:val="center"/>
              <w:rPr>
                <w:rFonts w:asciiTheme="minorHAnsi" w:eastAsiaTheme="minorEastAsia" w:hAnsiTheme="minorHAnsi" w:cstheme="minorBidi"/>
              </w:rPr>
            </w:pPr>
            <w:r w:rsidRPr="2FC1AB7B">
              <w:rPr>
                <w:rFonts w:asciiTheme="minorHAnsi" w:eastAsiaTheme="minorEastAsia" w:hAnsiTheme="minorHAnsi" w:cstheme="minorBidi"/>
              </w:rPr>
              <w:t>$11,955</w:t>
            </w:r>
          </w:p>
        </w:tc>
        <w:tc>
          <w:tcPr>
            <w:tcW w:w="123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204B0030" w14:textId="4856725F" w:rsidR="2FC1AB7B" w:rsidRDefault="2FC1AB7B" w:rsidP="003D1B04">
            <w:pPr>
              <w:spacing w:after="0"/>
              <w:jc w:val="center"/>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$14,227</w:t>
            </w:r>
          </w:p>
        </w:tc>
      </w:tr>
      <w:tr w:rsidR="2FC1AB7B" w14:paraId="0D554316" w14:textId="77777777" w:rsidTr="2FC1AB7B">
        <w:trPr>
          <w:trHeight w:val="300"/>
        </w:trPr>
        <w:tc>
          <w:tcPr>
            <w:tcW w:w="2021" w:type="dxa"/>
            <w:vMerge/>
            <w:tcBorders>
              <w:left w:val="single" w:sz="0" w:space="0" w:color="000000" w:themeColor="text1"/>
              <w:right w:val="single" w:sz="0" w:space="0" w:color="000000" w:themeColor="text1"/>
            </w:tcBorders>
            <w:vAlign w:val="center"/>
          </w:tcPr>
          <w:p w14:paraId="0C045927" w14:textId="77777777" w:rsidR="007F769C" w:rsidRDefault="007F769C"/>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B66477A" w14:textId="21710258"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MANUAL BRACHYTHERAPY</w:t>
            </w:r>
          </w:p>
        </w:tc>
        <w:tc>
          <w:tcPr>
            <w:tcW w:w="3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6198BB9" w14:textId="67EFCE21" w:rsidR="2FC1AB7B" w:rsidRDefault="003D1B04" w:rsidP="2FC1AB7B">
            <w:pPr>
              <w:spacing w:after="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M</w:t>
            </w:r>
            <w:r w:rsidR="2FC1AB7B" w:rsidRPr="2FC1AB7B">
              <w:rPr>
                <w:rFonts w:asciiTheme="minorHAnsi" w:eastAsiaTheme="minorEastAsia" w:hAnsiTheme="minorHAnsi" w:cstheme="minorBidi"/>
                <w:color w:val="000000" w:themeColor="text1"/>
              </w:rPr>
              <w:t>anual brachytherapy</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CC8EAFD" w14:textId="376E776F" w:rsidR="2FC1AB7B" w:rsidRDefault="2FC1AB7B" w:rsidP="003D1B04">
            <w:pPr>
              <w:spacing w:after="0"/>
              <w:jc w:val="center"/>
              <w:rPr>
                <w:rFonts w:asciiTheme="minorHAnsi" w:eastAsiaTheme="minorEastAsia" w:hAnsiTheme="minorHAnsi" w:cstheme="minorBidi"/>
              </w:rPr>
            </w:pPr>
            <w:r w:rsidRPr="2FC1AB7B">
              <w:rPr>
                <w:rFonts w:asciiTheme="minorHAnsi" w:eastAsiaTheme="minorEastAsia" w:hAnsiTheme="minorHAnsi" w:cstheme="minorBidi"/>
              </w:rPr>
              <w:t>$6,424</w:t>
            </w:r>
          </w:p>
        </w:tc>
        <w:tc>
          <w:tcPr>
            <w:tcW w:w="123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30A70718" w14:textId="32C48C8D" w:rsidR="2FC1AB7B" w:rsidRDefault="2FC1AB7B" w:rsidP="003D1B04">
            <w:pPr>
              <w:spacing w:after="0"/>
              <w:jc w:val="center"/>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$7,645</w:t>
            </w:r>
          </w:p>
        </w:tc>
      </w:tr>
      <w:tr w:rsidR="2FC1AB7B" w14:paraId="524B447B" w14:textId="77777777" w:rsidTr="2FC1AB7B">
        <w:trPr>
          <w:trHeight w:val="300"/>
        </w:trPr>
        <w:tc>
          <w:tcPr>
            <w:tcW w:w="2021" w:type="dxa"/>
            <w:vMerge/>
            <w:tcBorders>
              <w:left w:val="single" w:sz="0" w:space="0" w:color="000000" w:themeColor="text1"/>
              <w:right w:val="single" w:sz="0" w:space="0" w:color="000000" w:themeColor="text1"/>
            </w:tcBorders>
            <w:vAlign w:val="center"/>
          </w:tcPr>
          <w:p w14:paraId="76848F0C" w14:textId="77777777" w:rsidR="007F769C" w:rsidRDefault="007F769C"/>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CF4F2FC" w14:textId="67DF000B"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HDR, GAMMA KNIFE, TELETHERAPY</w:t>
            </w:r>
          </w:p>
        </w:tc>
        <w:tc>
          <w:tcPr>
            <w:tcW w:w="3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C1A7B34" w14:textId="6ECAA0AD" w:rsidR="2FC1AB7B" w:rsidRDefault="003D1B04" w:rsidP="2FC1AB7B">
            <w:pPr>
              <w:spacing w:after="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R</w:t>
            </w:r>
            <w:r w:rsidR="2FC1AB7B" w:rsidRPr="2FC1AB7B">
              <w:rPr>
                <w:rFonts w:asciiTheme="minorHAnsi" w:eastAsiaTheme="minorEastAsia" w:hAnsiTheme="minorHAnsi" w:cstheme="minorBidi"/>
                <w:color w:val="000000" w:themeColor="text1"/>
              </w:rPr>
              <w:t>emote after loader unit, teletherapy, gamma stereotactic</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7B978EC" w14:textId="3950C53B" w:rsidR="2FC1AB7B" w:rsidRDefault="2FC1AB7B" w:rsidP="003D1B04">
            <w:pPr>
              <w:spacing w:after="0"/>
              <w:jc w:val="center"/>
              <w:rPr>
                <w:rFonts w:asciiTheme="minorHAnsi" w:eastAsiaTheme="minorEastAsia" w:hAnsiTheme="minorHAnsi" w:cstheme="minorBidi"/>
              </w:rPr>
            </w:pPr>
            <w:r w:rsidRPr="2FC1AB7B">
              <w:rPr>
                <w:rFonts w:asciiTheme="minorHAnsi" w:eastAsiaTheme="minorEastAsia" w:hAnsiTheme="minorHAnsi" w:cstheme="minorBidi"/>
              </w:rPr>
              <w:t>$3,972</w:t>
            </w:r>
          </w:p>
        </w:tc>
        <w:tc>
          <w:tcPr>
            <w:tcW w:w="123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1853FB17" w14:textId="448DC675" w:rsidR="2FC1AB7B" w:rsidRDefault="2FC1AB7B" w:rsidP="003D1B04">
            <w:pPr>
              <w:spacing w:after="0"/>
              <w:jc w:val="center"/>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$4,727</w:t>
            </w:r>
          </w:p>
        </w:tc>
      </w:tr>
      <w:tr w:rsidR="2FC1AB7B" w14:paraId="77B8DF51" w14:textId="77777777" w:rsidTr="2FC1AB7B">
        <w:trPr>
          <w:trHeight w:val="300"/>
        </w:trPr>
        <w:tc>
          <w:tcPr>
            <w:tcW w:w="2021" w:type="dxa"/>
            <w:vMerge/>
            <w:tcBorders>
              <w:left w:val="single" w:sz="0" w:space="0" w:color="000000" w:themeColor="text1"/>
              <w:right w:val="single" w:sz="0" w:space="0" w:color="000000" w:themeColor="text1"/>
            </w:tcBorders>
            <w:vAlign w:val="center"/>
          </w:tcPr>
          <w:p w14:paraId="277FF670" w14:textId="77777777" w:rsidR="007F769C" w:rsidRDefault="007F769C"/>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7CF7EA9" w14:textId="527207A4"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 xml:space="preserve">MEDICAL &gt;200 </w:t>
            </w:r>
            <w:proofErr w:type="spellStart"/>
            <w:r w:rsidRPr="2FC1AB7B">
              <w:rPr>
                <w:rFonts w:asciiTheme="minorHAnsi" w:eastAsiaTheme="minorEastAsia" w:hAnsiTheme="minorHAnsi" w:cstheme="minorBidi"/>
                <w:color w:val="000000" w:themeColor="text1"/>
              </w:rPr>
              <w:t>mCi</w:t>
            </w:r>
            <w:proofErr w:type="spellEnd"/>
          </w:p>
        </w:tc>
        <w:tc>
          <w:tcPr>
            <w:tcW w:w="3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1687240" w14:textId="03975311" w:rsidR="2FC1AB7B" w:rsidRDefault="003D1B04" w:rsidP="2FC1AB7B">
            <w:pPr>
              <w:spacing w:after="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V</w:t>
            </w:r>
            <w:r w:rsidR="2FC1AB7B" w:rsidRPr="2FC1AB7B">
              <w:rPr>
                <w:rFonts w:asciiTheme="minorHAnsi" w:eastAsiaTheme="minorEastAsia" w:hAnsiTheme="minorHAnsi" w:cstheme="minorBidi"/>
                <w:color w:val="000000" w:themeColor="text1"/>
              </w:rPr>
              <w:t>et greater than 200 millicuries</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8D25361" w14:textId="0E035EA8" w:rsidR="2FC1AB7B" w:rsidRDefault="2FC1AB7B" w:rsidP="003D1B04">
            <w:pPr>
              <w:spacing w:after="0"/>
              <w:jc w:val="center"/>
              <w:rPr>
                <w:rFonts w:asciiTheme="minorHAnsi" w:eastAsiaTheme="minorEastAsia" w:hAnsiTheme="minorHAnsi" w:cstheme="minorBidi"/>
              </w:rPr>
            </w:pPr>
            <w:r w:rsidRPr="2FC1AB7B">
              <w:rPr>
                <w:rFonts w:asciiTheme="minorHAnsi" w:eastAsiaTheme="minorEastAsia" w:hAnsiTheme="minorHAnsi" w:cstheme="minorBidi"/>
              </w:rPr>
              <w:t>$6,033</w:t>
            </w:r>
          </w:p>
        </w:tc>
        <w:tc>
          <w:tcPr>
            <w:tcW w:w="123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1A283433" w14:textId="38F09B16" w:rsidR="2FC1AB7B" w:rsidRDefault="2FC1AB7B" w:rsidP="003D1B04">
            <w:pPr>
              <w:spacing w:after="0"/>
              <w:jc w:val="center"/>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$7,179</w:t>
            </w:r>
          </w:p>
        </w:tc>
      </w:tr>
      <w:tr w:rsidR="2FC1AB7B" w14:paraId="4F7FCBD5" w14:textId="77777777" w:rsidTr="2FC1AB7B">
        <w:trPr>
          <w:trHeight w:val="300"/>
        </w:trPr>
        <w:tc>
          <w:tcPr>
            <w:tcW w:w="2021" w:type="dxa"/>
            <w:vMerge/>
            <w:tcBorders>
              <w:left w:val="single" w:sz="0" w:space="0" w:color="000000" w:themeColor="text1"/>
              <w:right w:val="single" w:sz="0" w:space="0" w:color="000000" w:themeColor="text1"/>
            </w:tcBorders>
            <w:vAlign w:val="center"/>
          </w:tcPr>
          <w:p w14:paraId="4C82BC3C" w14:textId="77777777" w:rsidR="007F769C" w:rsidRDefault="007F769C"/>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79C3E5C" w14:textId="51FA6142"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 xml:space="preserve">MEDICAL&gt;30 -&lt;200 </w:t>
            </w:r>
            <w:proofErr w:type="spellStart"/>
            <w:r w:rsidRPr="2FC1AB7B">
              <w:rPr>
                <w:rFonts w:asciiTheme="minorHAnsi" w:eastAsiaTheme="minorEastAsia" w:hAnsiTheme="minorHAnsi" w:cstheme="minorBidi"/>
                <w:color w:val="000000" w:themeColor="text1"/>
              </w:rPr>
              <w:t>mCi</w:t>
            </w:r>
            <w:proofErr w:type="spellEnd"/>
          </w:p>
        </w:tc>
        <w:tc>
          <w:tcPr>
            <w:tcW w:w="3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014525D" w14:textId="64B67B7B" w:rsidR="2FC1AB7B" w:rsidRDefault="003D1B04" w:rsidP="2FC1AB7B">
            <w:pPr>
              <w:spacing w:after="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V</w:t>
            </w:r>
            <w:r w:rsidR="2FC1AB7B" w:rsidRPr="2FC1AB7B">
              <w:rPr>
                <w:rFonts w:asciiTheme="minorHAnsi" w:eastAsiaTheme="minorEastAsia" w:hAnsiTheme="minorHAnsi" w:cstheme="minorBidi"/>
                <w:color w:val="000000" w:themeColor="text1"/>
              </w:rPr>
              <w:t>et greater than 30 millicuries</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09260B4" w14:textId="017A640D" w:rsidR="2FC1AB7B" w:rsidRDefault="2FC1AB7B" w:rsidP="003D1B04">
            <w:pPr>
              <w:spacing w:after="0"/>
              <w:jc w:val="center"/>
              <w:rPr>
                <w:rFonts w:asciiTheme="minorHAnsi" w:eastAsiaTheme="minorEastAsia" w:hAnsiTheme="minorHAnsi" w:cstheme="minorBidi"/>
              </w:rPr>
            </w:pPr>
            <w:r w:rsidRPr="2FC1AB7B">
              <w:rPr>
                <w:rFonts w:asciiTheme="minorHAnsi" w:eastAsiaTheme="minorEastAsia" w:hAnsiTheme="minorHAnsi" w:cstheme="minorBidi"/>
              </w:rPr>
              <w:t>$4,800</w:t>
            </w:r>
          </w:p>
        </w:tc>
        <w:tc>
          <w:tcPr>
            <w:tcW w:w="123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2046C519" w14:textId="3D89E19B" w:rsidR="2FC1AB7B" w:rsidRDefault="2FC1AB7B" w:rsidP="003D1B04">
            <w:pPr>
              <w:spacing w:after="0"/>
              <w:jc w:val="center"/>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$5,712</w:t>
            </w:r>
          </w:p>
        </w:tc>
      </w:tr>
      <w:tr w:rsidR="2FC1AB7B" w14:paraId="21E29933" w14:textId="77777777" w:rsidTr="00DA7FB4">
        <w:trPr>
          <w:trHeight w:val="300"/>
        </w:trPr>
        <w:tc>
          <w:tcPr>
            <w:tcW w:w="2021" w:type="dxa"/>
            <w:vMerge/>
            <w:tcBorders>
              <w:left w:val="single" w:sz="0" w:space="0" w:color="000000" w:themeColor="text1"/>
              <w:right w:val="single" w:sz="0" w:space="0" w:color="000000" w:themeColor="text1"/>
            </w:tcBorders>
            <w:vAlign w:val="center"/>
          </w:tcPr>
          <w:p w14:paraId="5DE20A30" w14:textId="77777777" w:rsidR="007F769C" w:rsidRDefault="007F769C"/>
        </w:tc>
        <w:tc>
          <w:tcPr>
            <w:tcW w:w="1809" w:type="dxa"/>
            <w:tcBorders>
              <w:top w:val="single" w:sz="4" w:space="0" w:color="000000" w:themeColor="text1"/>
              <w:left w:val="single" w:sz="4" w:space="0" w:color="000000" w:themeColor="text1"/>
              <w:bottom w:val="single" w:sz="4" w:space="0" w:color="auto"/>
              <w:right w:val="single" w:sz="4" w:space="0" w:color="000000" w:themeColor="text1"/>
            </w:tcBorders>
            <w:tcMar>
              <w:top w:w="15" w:type="dxa"/>
              <w:left w:w="15" w:type="dxa"/>
              <w:right w:w="15" w:type="dxa"/>
            </w:tcMar>
            <w:vAlign w:val="center"/>
          </w:tcPr>
          <w:p w14:paraId="151B6EDC" w14:textId="0C5B1D67"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 xml:space="preserve">MEDICAL&lt;30 </w:t>
            </w:r>
            <w:proofErr w:type="spellStart"/>
            <w:r w:rsidRPr="2FC1AB7B">
              <w:rPr>
                <w:rFonts w:asciiTheme="minorHAnsi" w:eastAsiaTheme="minorEastAsia" w:hAnsiTheme="minorHAnsi" w:cstheme="minorBidi"/>
                <w:color w:val="000000" w:themeColor="text1"/>
              </w:rPr>
              <w:t>mCi</w:t>
            </w:r>
            <w:proofErr w:type="spellEnd"/>
          </w:p>
        </w:tc>
        <w:tc>
          <w:tcPr>
            <w:tcW w:w="3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3456298" w14:textId="2C4095F9" w:rsidR="2FC1AB7B" w:rsidRDefault="003D1B04" w:rsidP="2FC1AB7B">
            <w:pPr>
              <w:spacing w:after="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V</w:t>
            </w:r>
            <w:r w:rsidR="2FC1AB7B" w:rsidRPr="2FC1AB7B">
              <w:rPr>
                <w:rFonts w:asciiTheme="minorHAnsi" w:eastAsiaTheme="minorEastAsia" w:hAnsiTheme="minorHAnsi" w:cstheme="minorBidi"/>
                <w:color w:val="000000" w:themeColor="text1"/>
              </w:rPr>
              <w:t>et less than or = to 30 millicuries</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6012C8F" w14:textId="6DA0C9CD" w:rsidR="2FC1AB7B" w:rsidRDefault="2FC1AB7B" w:rsidP="003D1B04">
            <w:pPr>
              <w:spacing w:after="0"/>
              <w:jc w:val="center"/>
              <w:rPr>
                <w:rFonts w:asciiTheme="minorHAnsi" w:eastAsiaTheme="minorEastAsia" w:hAnsiTheme="minorHAnsi" w:cstheme="minorBidi"/>
              </w:rPr>
            </w:pPr>
            <w:r w:rsidRPr="2FC1AB7B">
              <w:rPr>
                <w:rFonts w:asciiTheme="minorHAnsi" w:eastAsiaTheme="minorEastAsia" w:hAnsiTheme="minorHAnsi" w:cstheme="minorBidi"/>
              </w:rPr>
              <w:t>$3,512</w:t>
            </w:r>
          </w:p>
        </w:tc>
        <w:tc>
          <w:tcPr>
            <w:tcW w:w="123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363CE9DA" w14:textId="35E7486D" w:rsidR="2FC1AB7B" w:rsidRDefault="2FC1AB7B" w:rsidP="003D1B04">
            <w:pPr>
              <w:spacing w:after="0"/>
              <w:jc w:val="center"/>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$4,179</w:t>
            </w:r>
          </w:p>
        </w:tc>
      </w:tr>
      <w:tr w:rsidR="2FC1AB7B" w14:paraId="70E54D3D" w14:textId="77777777" w:rsidTr="00DA7FB4">
        <w:trPr>
          <w:trHeight w:val="300"/>
        </w:trPr>
        <w:tc>
          <w:tcPr>
            <w:tcW w:w="2021" w:type="dxa"/>
            <w:vMerge/>
            <w:tcBorders>
              <w:left w:val="single" w:sz="0" w:space="0" w:color="000000" w:themeColor="text1"/>
              <w:right w:val="single" w:sz="4" w:space="0" w:color="auto"/>
            </w:tcBorders>
            <w:vAlign w:val="center"/>
          </w:tcPr>
          <w:p w14:paraId="7399029A" w14:textId="77777777" w:rsidR="007F769C" w:rsidRDefault="007F769C"/>
        </w:tc>
        <w:tc>
          <w:tcPr>
            <w:tcW w:w="18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1D3941B" w14:textId="47B82643"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N/A</w:t>
            </w:r>
          </w:p>
        </w:tc>
        <w:tc>
          <w:tcPr>
            <w:tcW w:w="3051" w:type="dxa"/>
            <w:tcBorders>
              <w:top w:val="single" w:sz="4" w:space="0" w:color="000000" w:themeColor="text1"/>
              <w:left w:val="single" w:sz="4" w:space="0" w:color="auto"/>
              <w:bottom w:val="single" w:sz="4" w:space="0" w:color="000000" w:themeColor="text1"/>
              <w:right w:val="single" w:sz="4" w:space="0" w:color="000000" w:themeColor="text1"/>
            </w:tcBorders>
            <w:tcMar>
              <w:top w:w="15" w:type="dxa"/>
              <w:left w:w="15" w:type="dxa"/>
              <w:right w:w="15" w:type="dxa"/>
            </w:tcMar>
            <w:vAlign w:val="center"/>
          </w:tcPr>
          <w:p w14:paraId="625EFEA5" w14:textId="6CC53BA0" w:rsidR="2FC1AB7B" w:rsidRDefault="00DA7FB4" w:rsidP="2FC1AB7B">
            <w:pPr>
              <w:spacing w:after="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U</w:t>
            </w:r>
            <w:r w:rsidR="2FC1AB7B" w:rsidRPr="2FC1AB7B">
              <w:rPr>
                <w:rFonts w:asciiTheme="minorHAnsi" w:eastAsiaTheme="minorEastAsia" w:hAnsiTheme="minorHAnsi" w:cstheme="minorBidi"/>
                <w:color w:val="000000" w:themeColor="text1"/>
              </w:rPr>
              <w:t>ptake, dilution/excretion studies written directive not required</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910BD3A" w14:textId="04D24D7A" w:rsidR="2FC1AB7B" w:rsidRDefault="2FC1AB7B" w:rsidP="003D1B04">
            <w:pPr>
              <w:spacing w:after="0"/>
              <w:jc w:val="center"/>
              <w:rPr>
                <w:rFonts w:asciiTheme="minorHAnsi" w:eastAsiaTheme="minorEastAsia" w:hAnsiTheme="minorHAnsi" w:cstheme="minorBidi"/>
              </w:rPr>
            </w:pPr>
            <w:r w:rsidRPr="2FC1AB7B">
              <w:rPr>
                <w:rFonts w:asciiTheme="minorHAnsi" w:eastAsiaTheme="minorEastAsia" w:hAnsiTheme="minorHAnsi" w:cstheme="minorBidi"/>
              </w:rPr>
              <w:t>$3,096</w:t>
            </w:r>
          </w:p>
        </w:tc>
        <w:tc>
          <w:tcPr>
            <w:tcW w:w="123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742B06EE" w14:textId="0B83E05B" w:rsidR="2FC1AB7B" w:rsidRDefault="2FC1AB7B" w:rsidP="003D1B04">
            <w:pPr>
              <w:spacing w:after="0"/>
              <w:jc w:val="center"/>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$3,684</w:t>
            </w:r>
          </w:p>
        </w:tc>
      </w:tr>
      <w:tr w:rsidR="2FC1AB7B" w14:paraId="486DC833" w14:textId="77777777" w:rsidTr="00DA7FB4">
        <w:trPr>
          <w:trHeight w:val="300"/>
        </w:trPr>
        <w:tc>
          <w:tcPr>
            <w:tcW w:w="2021" w:type="dxa"/>
            <w:vMerge/>
            <w:tcBorders>
              <w:left w:val="single" w:sz="0" w:space="0" w:color="000000" w:themeColor="text1"/>
              <w:bottom w:val="single" w:sz="0" w:space="0" w:color="000000" w:themeColor="text1"/>
              <w:right w:val="single" w:sz="4" w:space="0" w:color="auto"/>
            </w:tcBorders>
            <w:vAlign w:val="center"/>
          </w:tcPr>
          <w:p w14:paraId="041DE81D" w14:textId="77777777" w:rsidR="007F769C" w:rsidRDefault="007F769C"/>
        </w:tc>
        <w:tc>
          <w:tcPr>
            <w:tcW w:w="18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45DB99" w14:textId="6FEE694D"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N/A</w:t>
            </w:r>
          </w:p>
        </w:tc>
        <w:tc>
          <w:tcPr>
            <w:tcW w:w="3051" w:type="dxa"/>
            <w:tcBorders>
              <w:top w:val="single" w:sz="4" w:space="0" w:color="000000" w:themeColor="text1"/>
              <w:left w:val="single" w:sz="4" w:space="0" w:color="auto"/>
              <w:bottom w:val="single" w:sz="4" w:space="0" w:color="000000" w:themeColor="text1"/>
              <w:right w:val="single" w:sz="4" w:space="0" w:color="000000" w:themeColor="text1"/>
            </w:tcBorders>
            <w:tcMar>
              <w:top w:w="15" w:type="dxa"/>
              <w:left w:w="15" w:type="dxa"/>
              <w:right w:w="15" w:type="dxa"/>
            </w:tcMar>
            <w:vAlign w:val="center"/>
          </w:tcPr>
          <w:p w14:paraId="21B18BE4" w14:textId="78B33F70" w:rsidR="2FC1AB7B" w:rsidRDefault="00DA7FB4" w:rsidP="2FC1AB7B">
            <w:pPr>
              <w:spacing w:after="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V</w:t>
            </w:r>
            <w:r w:rsidR="2FC1AB7B" w:rsidRPr="2FC1AB7B">
              <w:rPr>
                <w:rFonts w:asciiTheme="minorHAnsi" w:eastAsiaTheme="minorEastAsia" w:hAnsiTheme="minorHAnsi" w:cstheme="minorBidi"/>
                <w:color w:val="000000" w:themeColor="text1"/>
              </w:rPr>
              <w:t>et sealed source diagnostic</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1CA6784" w14:textId="5D42C5D1" w:rsidR="2FC1AB7B" w:rsidRDefault="2FC1AB7B" w:rsidP="003D1B04">
            <w:pPr>
              <w:spacing w:after="0"/>
              <w:jc w:val="center"/>
              <w:rPr>
                <w:rFonts w:asciiTheme="minorHAnsi" w:eastAsiaTheme="minorEastAsia" w:hAnsiTheme="minorHAnsi" w:cstheme="minorBidi"/>
              </w:rPr>
            </w:pPr>
            <w:r w:rsidRPr="2FC1AB7B">
              <w:rPr>
                <w:rFonts w:asciiTheme="minorHAnsi" w:eastAsiaTheme="minorEastAsia" w:hAnsiTheme="minorHAnsi" w:cstheme="minorBidi"/>
              </w:rPr>
              <w:t>$1,931</w:t>
            </w:r>
          </w:p>
        </w:tc>
        <w:tc>
          <w:tcPr>
            <w:tcW w:w="123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6DAC19F1" w14:textId="0D4C6524" w:rsidR="2FC1AB7B" w:rsidRDefault="2FC1AB7B" w:rsidP="003D1B04">
            <w:pPr>
              <w:spacing w:after="0"/>
              <w:jc w:val="center"/>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$2,298</w:t>
            </w:r>
          </w:p>
        </w:tc>
      </w:tr>
      <w:tr w:rsidR="2FC1AB7B" w14:paraId="06802A7D" w14:textId="77777777" w:rsidTr="00DA7FB4">
        <w:trPr>
          <w:trHeight w:val="235"/>
        </w:trPr>
        <w:tc>
          <w:tcPr>
            <w:tcW w:w="2021" w:type="dxa"/>
            <w:vMerge w:val="restart"/>
            <w:tcBorders>
              <w:top w:val="single" w:sz="8"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4742641" w14:textId="7A3D2A45"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 xml:space="preserve">Industrial Radioactive Materials </w:t>
            </w:r>
          </w:p>
        </w:tc>
        <w:tc>
          <w:tcPr>
            <w:tcW w:w="1809" w:type="dxa"/>
            <w:tcBorders>
              <w:top w:val="single" w:sz="4" w:space="0" w:color="auto"/>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DACCA1A" w14:textId="043AA982"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VAULT RADIOGRAPHY</w:t>
            </w:r>
          </w:p>
        </w:tc>
        <w:tc>
          <w:tcPr>
            <w:tcW w:w="3051" w:type="dxa"/>
            <w:tcBorders>
              <w:top w:val="single" w:sz="8"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C32A37E" w14:textId="7B12C59B" w:rsidR="2FC1AB7B" w:rsidRDefault="00DA7FB4" w:rsidP="2FC1AB7B">
            <w:pPr>
              <w:spacing w:after="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R</w:t>
            </w:r>
            <w:r w:rsidR="2FC1AB7B" w:rsidRPr="2FC1AB7B">
              <w:rPr>
                <w:rFonts w:asciiTheme="minorHAnsi" w:eastAsiaTheme="minorEastAsia" w:hAnsiTheme="minorHAnsi" w:cstheme="minorBidi"/>
                <w:color w:val="000000" w:themeColor="text1"/>
              </w:rPr>
              <w:t>adiographic exposure devices 1 or more permanent vault</w:t>
            </w:r>
          </w:p>
        </w:tc>
        <w:tc>
          <w:tcPr>
            <w:tcW w:w="1238" w:type="dxa"/>
            <w:tcBorders>
              <w:top w:val="single" w:sz="8"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BA57ECF" w14:textId="112A647F" w:rsidR="2FC1AB7B" w:rsidRDefault="2FC1AB7B" w:rsidP="2FC1AB7B">
            <w:pPr>
              <w:spacing w:after="0"/>
              <w:rPr>
                <w:rFonts w:asciiTheme="minorHAnsi" w:eastAsiaTheme="minorEastAsia" w:hAnsiTheme="minorHAnsi" w:cstheme="minorBidi"/>
              </w:rPr>
            </w:pPr>
            <w:r w:rsidRPr="2FC1AB7B">
              <w:rPr>
                <w:rFonts w:asciiTheme="minorHAnsi" w:eastAsiaTheme="minorEastAsia" w:hAnsiTheme="minorHAnsi" w:cstheme="minorBidi"/>
              </w:rPr>
              <w:t xml:space="preserve">$13,984 </w:t>
            </w:r>
          </w:p>
        </w:tc>
        <w:tc>
          <w:tcPr>
            <w:tcW w:w="1239" w:type="dxa"/>
            <w:tcBorders>
              <w:top w:val="single" w:sz="8"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07807DFB" w14:textId="672F8919"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 xml:space="preserve"> $16,641 </w:t>
            </w:r>
          </w:p>
        </w:tc>
      </w:tr>
      <w:tr w:rsidR="2FC1AB7B" w14:paraId="06F96991" w14:textId="77777777" w:rsidTr="2FC1AB7B">
        <w:trPr>
          <w:trHeight w:val="300"/>
        </w:trPr>
        <w:tc>
          <w:tcPr>
            <w:tcW w:w="2021" w:type="dxa"/>
            <w:vMerge/>
            <w:tcBorders>
              <w:left w:val="single" w:sz="0" w:space="0" w:color="000000" w:themeColor="text1"/>
              <w:right w:val="single" w:sz="0" w:space="0" w:color="000000" w:themeColor="text1"/>
            </w:tcBorders>
            <w:vAlign w:val="center"/>
          </w:tcPr>
          <w:p w14:paraId="1CF92D24" w14:textId="77777777" w:rsidR="007F769C" w:rsidRDefault="007F769C"/>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CA4AE51" w14:textId="0BB01719"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FIELD RADIOGRAPHY</w:t>
            </w:r>
          </w:p>
        </w:tc>
        <w:tc>
          <w:tcPr>
            <w:tcW w:w="3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1DAEE57" w14:textId="4DE86B5F" w:rsidR="2FC1AB7B" w:rsidRDefault="00DA7FB4" w:rsidP="2FC1AB7B">
            <w:pPr>
              <w:spacing w:after="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R</w:t>
            </w:r>
            <w:r w:rsidR="2FC1AB7B" w:rsidRPr="2FC1AB7B">
              <w:rPr>
                <w:rFonts w:asciiTheme="minorHAnsi" w:eastAsiaTheme="minorEastAsia" w:hAnsiTheme="minorHAnsi" w:cstheme="minorBidi"/>
                <w:color w:val="000000" w:themeColor="text1"/>
              </w:rPr>
              <w:t>adiographic exposure devices at temp job sites</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AE58CF2" w14:textId="2882A5EC" w:rsidR="2FC1AB7B" w:rsidRDefault="2FC1AB7B" w:rsidP="2FC1AB7B">
            <w:pPr>
              <w:spacing w:after="0"/>
              <w:rPr>
                <w:rFonts w:asciiTheme="minorHAnsi" w:eastAsiaTheme="minorEastAsia" w:hAnsiTheme="minorHAnsi" w:cstheme="minorBidi"/>
              </w:rPr>
            </w:pPr>
            <w:r w:rsidRPr="2FC1AB7B">
              <w:rPr>
                <w:rFonts w:asciiTheme="minorHAnsi" w:eastAsiaTheme="minorEastAsia" w:hAnsiTheme="minorHAnsi" w:cstheme="minorBidi"/>
              </w:rPr>
              <w:t xml:space="preserve">$18,747 </w:t>
            </w:r>
          </w:p>
        </w:tc>
        <w:tc>
          <w:tcPr>
            <w:tcW w:w="123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25DF758C" w14:textId="28CD3EDA"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 xml:space="preserve"> $22,309 </w:t>
            </w:r>
          </w:p>
        </w:tc>
      </w:tr>
      <w:tr w:rsidR="2FC1AB7B" w14:paraId="13FF8527" w14:textId="77777777" w:rsidTr="2FC1AB7B">
        <w:trPr>
          <w:trHeight w:val="300"/>
        </w:trPr>
        <w:tc>
          <w:tcPr>
            <w:tcW w:w="2021" w:type="dxa"/>
            <w:vMerge/>
            <w:tcBorders>
              <w:left w:val="single" w:sz="0" w:space="0" w:color="000000" w:themeColor="text1"/>
              <w:right w:val="single" w:sz="0" w:space="0" w:color="000000" w:themeColor="text1"/>
            </w:tcBorders>
            <w:vAlign w:val="center"/>
          </w:tcPr>
          <w:p w14:paraId="2D3FF3C2" w14:textId="77777777" w:rsidR="007F769C" w:rsidRDefault="007F769C"/>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50F02FF" w14:textId="23CD697A"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WELL LOGGING</w:t>
            </w:r>
          </w:p>
        </w:tc>
        <w:tc>
          <w:tcPr>
            <w:tcW w:w="3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1F5A43C" w14:textId="112BE9CF" w:rsidR="2FC1AB7B" w:rsidRDefault="00DA7FB4" w:rsidP="2FC1AB7B">
            <w:pPr>
              <w:spacing w:after="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W</w:t>
            </w:r>
            <w:r w:rsidR="2FC1AB7B" w:rsidRPr="2FC1AB7B">
              <w:rPr>
                <w:rFonts w:asciiTheme="minorHAnsi" w:eastAsiaTheme="minorEastAsia" w:hAnsiTheme="minorHAnsi" w:cstheme="minorBidi"/>
                <w:color w:val="000000" w:themeColor="text1"/>
              </w:rPr>
              <w:t xml:space="preserve">ell-logging activities </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D805FD0" w14:textId="39A9405B" w:rsidR="2FC1AB7B" w:rsidRDefault="2FC1AB7B" w:rsidP="2FC1AB7B">
            <w:pPr>
              <w:spacing w:after="0"/>
              <w:rPr>
                <w:rFonts w:asciiTheme="minorHAnsi" w:eastAsiaTheme="minorEastAsia" w:hAnsiTheme="minorHAnsi" w:cstheme="minorBidi"/>
              </w:rPr>
            </w:pPr>
            <w:r w:rsidRPr="2FC1AB7B">
              <w:rPr>
                <w:rFonts w:asciiTheme="minorHAnsi" w:eastAsiaTheme="minorEastAsia" w:hAnsiTheme="minorHAnsi" w:cstheme="minorBidi"/>
              </w:rPr>
              <w:t xml:space="preserve"> $9,183 </w:t>
            </w:r>
          </w:p>
        </w:tc>
        <w:tc>
          <w:tcPr>
            <w:tcW w:w="123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37ED680E" w14:textId="3F632B8E"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 xml:space="preserve"> $10,928 </w:t>
            </w:r>
          </w:p>
        </w:tc>
      </w:tr>
      <w:tr w:rsidR="2FC1AB7B" w14:paraId="65E5F0E1" w14:textId="77777777" w:rsidTr="2FC1AB7B">
        <w:trPr>
          <w:trHeight w:val="300"/>
        </w:trPr>
        <w:tc>
          <w:tcPr>
            <w:tcW w:w="2021" w:type="dxa"/>
            <w:vMerge/>
            <w:tcBorders>
              <w:left w:val="single" w:sz="0" w:space="0" w:color="000000" w:themeColor="text1"/>
              <w:right w:val="single" w:sz="0" w:space="0" w:color="000000" w:themeColor="text1"/>
            </w:tcBorders>
            <w:vAlign w:val="center"/>
          </w:tcPr>
          <w:p w14:paraId="626BB21B" w14:textId="77777777" w:rsidR="007F769C" w:rsidRDefault="007F769C"/>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81E6B15" w14:textId="0C3A2176"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PORTABLE GAUGE</w:t>
            </w:r>
          </w:p>
        </w:tc>
        <w:tc>
          <w:tcPr>
            <w:tcW w:w="3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792C93C" w14:textId="36F6CF14" w:rsidR="2FC1AB7B" w:rsidRDefault="00DA7FB4" w:rsidP="2FC1AB7B">
            <w:pPr>
              <w:spacing w:after="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P</w:t>
            </w:r>
            <w:r w:rsidR="2FC1AB7B" w:rsidRPr="2FC1AB7B">
              <w:rPr>
                <w:rFonts w:asciiTheme="minorHAnsi" w:eastAsiaTheme="minorEastAsia" w:hAnsiTheme="minorHAnsi" w:cstheme="minorBidi"/>
                <w:color w:val="000000" w:themeColor="text1"/>
              </w:rPr>
              <w:t>ortable sealed sources</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3166BF0" w14:textId="67090BAA" w:rsidR="2FC1AB7B" w:rsidRDefault="2FC1AB7B" w:rsidP="2FC1AB7B">
            <w:pPr>
              <w:spacing w:after="0"/>
              <w:rPr>
                <w:rFonts w:asciiTheme="minorHAnsi" w:eastAsiaTheme="minorEastAsia" w:hAnsiTheme="minorHAnsi" w:cstheme="minorBidi"/>
              </w:rPr>
            </w:pPr>
            <w:r w:rsidRPr="2FC1AB7B">
              <w:rPr>
                <w:rFonts w:asciiTheme="minorHAnsi" w:eastAsiaTheme="minorEastAsia" w:hAnsiTheme="minorHAnsi" w:cstheme="minorBidi"/>
              </w:rPr>
              <w:t xml:space="preserve">$1,979 </w:t>
            </w:r>
          </w:p>
        </w:tc>
        <w:tc>
          <w:tcPr>
            <w:tcW w:w="123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5154220F" w14:textId="6257EB2F"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 xml:space="preserve"> $2,355 </w:t>
            </w:r>
          </w:p>
        </w:tc>
      </w:tr>
      <w:tr w:rsidR="2FC1AB7B" w14:paraId="5058544C" w14:textId="77777777" w:rsidTr="2FC1AB7B">
        <w:trPr>
          <w:trHeight w:val="300"/>
        </w:trPr>
        <w:tc>
          <w:tcPr>
            <w:tcW w:w="2021" w:type="dxa"/>
            <w:vMerge/>
            <w:tcBorders>
              <w:left w:val="single" w:sz="0" w:space="0" w:color="000000" w:themeColor="text1"/>
              <w:right w:val="single" w:sz="0" w:space="0" w:color="000000" w:themeColor="text1"/>
            </w:tcBorders>
            <w:vAlign w:val="center"/>
          </w:tcPr>
          <w:p w14:paraId="5B9AD00A" w14:textId="77777777" w:rsidR="007F769C" w:rsidRDefault="007F769C"/>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7A8FCA6" w14:textId="56203FB6"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FIXED GAUGE</w:t>
            </w:r>
          </w:p>
        </w:tc>
        <w:tc>
          <w:tcPr>
            <w:tcW w:w="3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6BC1492" w14:textId="6E241F7B" w:rsidR="2FC1AB7B" w:rsidRDefault="00DA7FB4" w:rsidP="2FC1AB7B">
            <w:pPr>
              <w:spacing w:after="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N</w:t>
            </w:r>
            <w:r w:rsidR="2FC1AB7B" w:rsidRPr="2FC1AB7B">
              <w:rPr>
                <w:rFonts w:asciiTheme="minorHAnsi" w:eastAsiaTheme="minorEastAsia" w:hAnsiTheme="minorHAnsi" w:cstheme="minorBidi"/>
                <w:color w:val="000000" w:themeColor="text1"/>
              </w:rPr>
              <w:t>onportable sealed source</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C87C723" w14:textId="2A96CFDE" w:rsidR="2FC1AB7B" w:rsidRDefault="2FC1AB7B" w:rsidP="2FC1AB7B">
            <w:pPr>
              <w:spacing w:after="0"/>
              <w:rPr>
                <w:rFonts w:asciiTheme="minorHAnsi" w:eastAsiaTheme="minorEastAsia" w:hAnsiTheme="minorHAnsi" w:cstheme="minorBidi"/>
              </w:rPr>
            </w:pPr>
            <w:r w:rsidRPr="2FC1AB7B">
              <w:rPr>
                <w:rFonts w:asciiTheme="minorHAnsi" w:eastAsiaTheme="minorEastAsia" w:hAnsiTheme="minorHAnsi" w:cstheme="minorBidi"/>
              </w:rPr>
              <w:t xml:space="preserve">$2,158 </w:t>
            </w:r>
          </w:p>
        </w:tc>
        <w:tc>
          <w:tcPr>
            <w:tcW w:w="123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53C74D06" w14:textId="7E5DC01D"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 xml:space="preserve"> $2,568 </w:t>
            </w:r>
          </w:p>
        </w:tc>
      </w:tr>
      <w:tr w:rsidR="2FC1AB7B" w14:paraId="14686144" w14:textId="77777777" w:rsidTr="2FC1AB7B">
        <w:trPr>
          <w:trHeight w:val="300"/>
        </w:trPr>
        <w:tc>
          <w:tcPr>
            <w:tcW w:w="2021" w:type="dxa"/>
            <w:vMerge/>
            <w:tcBorders>
              <w:left w:val="single" w:sz="0" w:space="0" w:color="000000" w:themeColor="text1"/>
              <w:right w:val="single" w:sz="0" w:space="0" w:color="000000" w:themeColor="text1"/>
            </w:tcBorders>
            <w:vAlign w:val="center"/>
          </w:tcPr>
          <w:p w14:paraId="1B1FAF8E" w14:textId="77777777" w:rsidR="007F769C" w:rsidRDefault="007F769C"/>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C354AFB" w14:textId="459A07E0"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GAS CHROMATOGRAPH</w:t>
            </w:r>
          </w:p>
        </w:tc>
        <w:tc>
          <w:tcPr>
            <w:tcW w:w="3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FFA0661" w14:textId="62CECA02" w:rsidR="2FC1AB7B" w:rsidRDefault="00DA7FB4" w:rsidP="2FC1AB7B">
            <w:pPr>
              <w:spacing w:after="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G</w:t>
            </w:r>
            <w:r w:rsidR="2FC1AB7B" w:rsidRPr="2FC1AB7B">
              <w:rPr>
                <w:rFonts w:asciiTheme="minorHAnsi" w:eastAsiaTheme="minorEastAsia" w:hAnsiTheme="minorHAnsi" w:cstheme="minorBidi"/>
                <w:color w:val="000000" w:themeColor="text1"/>
              </w:rPr>
              <w:t>as chromatograph</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B57D56E" w14:textId="14504101" w:rsidR="2FC1AB7B" w:rsidRDefault="2FC1AB7B" w:rsidP="2FC1AB7B">
            <w:pPr>
              <w:spacing w:after="0"/>
              <w:rPr>
                <w:rFonts w:asciiTheme="minorHAnsi" w:eastAsiaTheme="minorEastAsia" w:hAnsiTheme="minorHAnsi" w:cstheme="minorBidi"/>
              </w:rPr>
            </w:pPr>
            <w:r w:rsidRPr="2FC1AB7B">
              <w:rPr>
                <w:rFonts w:asciiTheme="minorHAnsi" w:eastAsiaTheme="minorEastAsia" w:hAnsiTheme="minorHAnsi" w:cstheme="minorBidi"/>
              </w:rPr>
              <w:t xml:space="preserve">$1,360 </w:t>
            </w:r>
          </w:p>
        </w:tc>
        <w:tc>
          <w:tcPr>
            <w:tcW w:w="123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1DCD6917" w14:textId="630CE003"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 xml:space="preserve"> $1,618 </w:t>
            </w:r>
          </w:p>
        </w:tc>
      </w:tr>
      <w:tr w:rsidR="2FC1AB7B" w14:paraId="43CE7A10" w14:textId="77777777" w:rsidTr="00DA7FB4">
        <w:trPr>
          <w:trHeight w:val="300"/>
        </w:trPr>
        <w:tc>
          <w:tcPr>
            <w:tcW w:w="2021" w:type="dxa"/>
            <w:vMerge/>
            <w:tcBorders>
              <w:left w:val="single" w:sz="0" w:space="0" w:color="000000" w:themeColor="text1"/>
              <w:right w:val="single" w:sz="0" w:space="0" w:color="000000" w:themeColor="text1"/>
            </w:tcBorders>
            <w:vAlign w:val="center"/>
          </w:tcPr>
          <w:p w14:paraId="2A09BE71" w14:textId="77777777" w:rsidR="007F769C" w:rsidRDefault="007F769C"/>
        </w:tc>
        <w:tc>
          <w:tcPr>
            <w:tcW w:w="1809" w:type="dxa"/>
            <w:tcBorders>
              <w:top w:val="single" w:sz="4" w:space="0" w:color="000000" w:themeColor="text1"/>
              <w:left w:val="single" w:sz="4" w:space="0" w:color="000000" w:themeColor="text1"/>
              <w:bottom w:val="single" w:sz="4" w:space="0" w:color="auto"/>
              <w:right w:val="single" w:sz="4" w:space="0" w:color="000000" w:themeColor="text1"/>
            </w:tcBorders>
            <w:tcMar>
              <w:top w:w="15" w:type="dxa"/>
              <w:left w:w="15" w:type="dxa"/>
              <w:right w:w="15" w:type="dxa"/>
            </w:tcMar>
            <w:vAlign w:val="center"/>
          </w:tcPr>
          <w:p w14:paraId="254666A2" w14:textId="2D4FBD7F"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LARGE IRRADIATOR</w:t>
            </w:r>
          </w:p>
        </w:tc>
        <w:tc>
          <w:tcPr>
            <w:tcW w:w="3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1AAB901" w14:textId="5A5659F7" w:rsidR="2FC1AB7B" w:rsidRDefault="00DA7FB4" w:rsidP="2FC1AB7B">
            <w:pPr>
              <w:spacing w:after="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S</w:t>
            </w:r>
            <w:r w:rsidR="2FC1AB7B" w:rsidRPr="2FC1AB7B">
              <w:rPr>
                <w:rFonts w:asciiTheme="minorHAnsi" w:eastAsiaTheme="minorEastAsia" w:hAnsiTheme="minorHAnsi" w:cstheme="minorBidi"/>
                <w:color w:val="000000" w:themeColor="text1"/>
              </w:rPr>
              <w:t>elf-fielded or pool type irradiator</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BC13B98" w14:textId="4EF31BA0" w:rsidR="2FC1AB7B" w:rsidRDefault="2FC1AB7B" w:rsidP="2FC1AB7B">
            <w:pPr>
              <w:spacing w:after="0"/>
              <w:rPr>
                <w:rFonts w:asciiTheme="minorHAnsi" w:eastAsiaTheme="minorEastAsia" w:hAnsiTheme="minorHAnsi" w:cstheme="minorBidi"/>
              </w:rPr>
            </w:pPr>
            <w:r w:rsidRPr="2FC1AB7B">
              <w:rPr>
                <w:rFonts w:asciiTheme="minorHAnsi" w:eastAsiaTheme="minorEastAsia" w:hAnsiTheme="minorHAnsi" w:cstheme="minorBidi"/>
              </w:rPr>
              <w:t xml:space="preserve">$3,770 </w:t>
            </w:r>
          </w:p>
        </w:tc>
        <w:tc>
          <w:tcPr>
            <w:tcW w:w="123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4E5DF19C" w14:textId="15E29840"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 xml:space="preserve"> $4,487 </w:t>
            </w:r>
          </w:p>
        </w:tc>
      </w:tr>
      <w:tr w:rsidR="2FC1AB7B" w14:paraId="5BE12E18" w14:textId="77777777" w:rsidTr="00DA7FB4">
        <w:trPr>
          <w:trHeight w:val="300"/>
        </w:trPr>
        <w:tc>
          <w:tcPr>
            <w:tcW w:w="2021" w:type="dxa"/>
            <w:vMerge/>
            <w:tcBorders>
              <w:left w:val="single" w:sz="0" w:space="0" w:color="000000" w:themeColor="text1"/>
              <w:right w:val="single" w:sz="4" w:space="0" w:color="auto"/>
            </w:tcBorders>
            <w:vAlign w:val="center"/>
          </w:tcPr>
          <w:p w14:paraId="761675FA" w14:textId="77777777" w:rsidR="007F769C" w:rsidRDefault="007F769C"/>
        </w:tc>
        <w:tc>
          <w:tcPr>
            <w:tcW w:w="18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7526B8" w14:textId="4404FCF9"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N/A</w:t>
            </w:r>
          </w:p>
        </w:tc>
        <w:tc>
          <w:tcPr>
            <w:tcW w:w="3051" w:type="dxa"/>
            <w:tcBorders>
              <w:top w:val="single" w:sz="4" w:space="0" w:color="000000" w:themeColor="text1"/>
              <w:left w:val="single" w:sz="4" w:space="0" w:color="auto"/>
              <w:bottom w:val="single" w:sz="4" w:space="0" w:color="000000" w:themeColor="text1"/>
              <w:right w:val="single" w:sz="4" w:space="0" w:color="000000" w:themeColor="text1"/>
            </w:tcBorders>
            <w:tcMar>
              <w:top w:w="15" w:type="dxa"/>
              <w:left w:w="15" w:type="dxa"/>
              <w:right w:w="15" w:type="dxa"/>
            </w:tcMar>
            <w:vAlign w:val="center"/>
          </w:tcPr>
          <w:p w14:paraId="7D9CB360" w14:textId="77FC17CB" w:rsidR="2FC1AB7B" w:rsidRDefault="00DA7FB4" w:rsidP="2FC1AB7B">
            <w:pPr>
              <w:spacing w:after="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S</w:t>
            </w:r>
            <w:r w:rsidR="2FC1AB7B" w:rsidRPr="2FC1AB7B">
              <w:rPr>
                <w:rFonts w:asciiTheme="minorHAnsi" w:eastAsiaTheme="minorEastAsia" w:hAnsiTheme="minorHAnsi" w:cstheme="minorBidi"/>
                <w:color w:val="000000" w:themeColor="text1"/>
              </w:rPr>
              <w:t>ealed sources walk in type irradiator</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3997771" w14:textId="07F618F4" w:rsidR="2FC1AB7B" w:rsidRDefault="2FC1AB7B" w:rsidP="2FC1AB7B">
            <w:pPr>
              <w:spacing w:after="0"/>
              <w:rPr>
                <w:rFonts w:asciiTheme="minorHAnsi" w:eastAsiaTheme="minorEastAsia" w:hAnsiTheme="minorHAnsi" w:cstheme="minorBidi"/>
              </w:rPr>
            </w:pPr>
            <w:r w:rsidRPr="2FC1AB7B">
              <w:rPr>
                <w:rFonts w:asciiTheme="minorHAnsi" w:eastAsiaTheme="minorEastAsia" w:hAnsiTheme="minorHAnsi" w:cstheme="minorBidi"/>
              </w:rPr>
              <w:t xml:space="preserve">$20,040 </w:t>
            </w:r>
          </w:p>
        </w:tc>
        <w:tc>
          <w:tcPr>
            <w:tcW w:w="123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06E1D3E7" w14:textId="056E18A3"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 xml:space="preserve"> $23,848 </w:t>
            </w:r>
          </w:p>
        </w:tc>
      </w:tr>
      <w:tr w:rsidR="2FC1AB7B" w14:paraId="73182BD6" w14:textId="77777777" w:rsidTr="00DA7FB4">
        <w:trPr>
          <w:trHeight w:val="300"/>
        </w:trPr>
        <w:tc>
          <w:tcPr>
            <w:tcW w:w="2021" w:type="dxa"/>
            <w:vMerge/>
            <w:tcBorders>
              <w:left w:val="single" w:sz="0" w:space="0" w:color="000000" w:themeColor="text1"/>
              <w:right w:val="single" w:sz="0" w:space="0" w:color="000000" w:themeColor="text1"/>
            </w:tcBorders>
            <w:vAlign w:val="center"/>
          </w:tcPr>
          <w:p w14:paraId="6FF807AF" w14:textId="77777777" w:rsidR="007F769C" w:rsidRDefault="007F769C"/>
        </w:tc>
        <w:tc>
          <w:tcPr>
            <w:tcW w:w="1809" w:type="dxa"/>
            <w:tcBorders>
              <w:top w:val="single" w:sz="4" w:space="0" w:color="auto"/>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1F7D65B" w14:textId="70C49BE6"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LARGE PRODUCTION</w:t>
            </w:r>
          </w:p>
        </w:tc>
        <w:tc>
          <w:tcPr>
            <w:tcW w:w="3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6DEB771" w14:textId="6638303B" w:rsidR="2FC1AB7B" w:rsidRDefault="00DA7FB4" w:rsidP="2FC1AB7B">
            <w:pPr>
              <w:spacing w:after="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G</w:t>
            </w:r>
            <w:r w:rsidR="2FC1AB7B" w:rsidRPr="2FC1AB7B">
              <w:rPr>
                <w:rFonts w:asciiTheme="minorHAnsi" w:eastAsiaTheme="minorEastAsia" w:hAnsiTheme="minorHAnsi" w:cstheme="minorBidi"/>
                <w:color w:val="000000" w:themeColor="text1"/>
              </w:rPr>
              <w:t xml:space="preserve">reater than 1 gram unsealed special nuclear material or greater than 500 kilograms </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A9AFD5F" w14:textId="7EFC3304" w:rsidR="2FC1AB7B" w:rsidRDefault="2FC1AB7B" w:rsidP="2FC1AB7B">
            <w:pPr>
              <w:spacing w:after="0"/>
              <w:rPr>
                <w:rFonts w:asciiTheme="minorHAnsi" w:eastAsiaTheme="minorEastAsia" w:hAnsiTheme="minorHAnsi" w:cstheme="minorBidi"/>
              </w:rPr>
            </w:pPr>
            <w:r w:rsidRPr="2FC1AB7B">
              <w:rPr>
                <w:rFonts w:asciiTheme="minorHAnsi" w:eastAsiaTheme="minorEastAsia" w:hAnsiTheme="minorHAnsi" w:cstheme="minorBidi"/>
              </w:rPr>
              <w:t xml:space="preserve"> $17,453 </w:t>
            </w:r>
          </w:p>
        </w:tc>
        <w:tc>
          <w:tcPr>
            <w:tcW w:w="123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7031F80B" w14:textId="645D8AE6"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 xml:space="preserve"> $20,769 </w:t>
            </w:r>
          </w:p>
        </w:tc>
      </w:tr>
      <w:tr w:rsidR="2FC1AB7B" w14:paraId="3CB57229" w14:textId="77777777" w:rsidTr="2FC1AB7B">
        <w:trPr>
          <w:trHeight w:val="300"/>
        </w:trPr>
        <w:tc>
          <w:tcPr>
            <w:tcW w:w="2021" w:type="dxa"/>
            <w:vMerge/>
            <w:tcBorders>
              <w:left w:val="single" w:sz="0" w:space="0" w:color="000000" w:themeColor="text1"/>
              <w:right w:val="single" w:sz="0" w:space="0" w:color="000000" w:themeColor="text1"/>
            </w:tcBorders>
            <w:vAlign w:val="center"/>
          </w:tcPr>
          <w:p w14:paraId="1FD13A2F" w14:textId="77777777" w:rsidR="007F769C" w:rsidRDefault="007F769C"/>
        </w:tc>
        <w:tc>
          <w:tcPr>
            <w:tcW w:w="1809" w:type="dxa"/>
            <w:tcBorders>
              <w:top w:val="single" w:sz="4" w:space="0" w:color="000000" w:themeColor="text1"/>
              <w:left w:val="single" w:sz="4"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33649867" w14:textId="43E660A0"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SMALL PRODUCTION</w:t>
            </w:r>
          </w:p>
        </w:tc>
        <w:tc>
          <w:tcPr>
            <w:tcW w:w="3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D05BE61" w14:textId="39AC5681" w:rsidR="2FC1AB7B" w:rsidRDefault="00DA7FB4" w:rsidP="2FC1AB7B">
            <w:pPr>
              <w:spacing w:after="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L</w:t>
            </w:r>
            <w:r w:rsidR="2FC1AB7B" w:rsidRPr="2FC1AB7B">
              <w:rPr>
                <w:rFonts w:asciiTheme="minorHAnsi" w:eastAsiaTheme="minorEastAsia" w:hAnsiTheme="minorHAnsi" w:cstheme="minorBidi"/>
                <w:color w:val="000000" w:themeColor="text1"/>
              </w:rPr>
              <w:t xml:space="preserve">ess than or equal to 1 gram unsealed special nuclear material or 500 kilograms </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228A51C" w14:textId="7BE6BD73" w:rsidR="2FC1AB7B" w:rsidRDefault="2FC1AB7B" w:rsidP="2FC1AB7B">
            <w:pPr>
              <w:spacing w:after="0"/>
              <w:rPr>
                <w:rFonts w:asciiTheme="minorHAnsi" w:eastAsiaTheme="minorEastAsia" w:hAnsiTheme="minorHAnsi" w:cstheme="minorBidi"/>
              </w:rPr>
            </w:pPr>
            <w:r w:rsidRPr="2FC1AB7B">
              <w:rPr>
                <w:rFonts w:asciiTheme="minorHAnsi" w:eastAsiaTheme="minorEastAsia" w:hAnsiTheme="minorHAnsi" w:cstheme="minorBidi"/>
              </w:rPr>
              <w:t xml:space="preserve"> $5,585 </w:t>
            </w:r>
          </w:p>
        </w:tc>
        <w:tc>
          <w:tcPr>
            <w:tcW w:w="123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28D0B999" w14:textId="4AB487CA"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 xml:space="preserve"> $6,646 </w:t>
            </w:r>
          </w:p>
        </w:tc>
      </w:tr>
      <w:tr w:rsidR="2FC1AB7B" w14:paraId="312469FD" w14:textId="77777777" w:rsidTr="2FC1AB7B">
        <w:trPr>
          <w:trHeight w:val="300"/>
        </w:trPr>
        <w:tc>
          <w:tcPr>
            <w:tcW w:w="2021" w:type="dxa"/>
            <w:vMerge/>
            <w:tcBorders>
              <w:left w:val="single" w:sz="0" w:space="0" w:color="000000" w:themeColor="text1"/>
              <w:bottom w:val="single" w:sz="0" w:space="0" w:color="000000" w:themeColor="text1"/>
              <w:right w:val="single" w:sz="0" w:space="0" w:color="000000" w:themeColor="text1"/>
            </w:tcBorders>
            <w:vAlign w:val="center"/>
          </w:tcPr>
          <w:p w14:paraId="22419BC3" w14:textId="77777777" w:rsidR="007F769C" w:rsidRDefault="007F769C"/>
        </w:tc>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6468E6BC" w14:textId="0F384927"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N/A</w:t>
            </w:r>
          </w:p>
        </w:tc>
        <w:tc>
          <w:tcPr>
            <w:tcW w:w="3051"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56DD2E6" w14:textId="6AC1E3D4" w:rsidR="2FC1AB7B" w:rsidRDefault="00DA7FB4" w:rsidP="2FC1AB7B">
            <w:pPr>
              <w:spacing w:after="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S</w:t>
            </w:r>
            <w:r w:rsidR="2FC1AB7B" w:rsidRPr="2FC1AB7B">
              <w:rPr>
                <w:rFonts w:asciiTheme="minorHAnsi" w:eastAsiaTheme="minorEastAsia" w:hAnsiTheme="minorHAnsi" w:cstheme="minorBidi"/>
                <w:color w:val="000000" w:themeColor="text1"/>
              </w:rPr>
              <w:t>tatic elimination devices</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B1AFFFD" w14:textId="347528FD" w:rsidR="2FC1AB7B" w:rsidRDefault="2FC1AB7B" w:rsidP="2FC1AB7B">
            <w:pPr>
              <w:spacing w:after="0"/>
              <w:rPr>
                <w:rFonts w:asciiTheme="minorHAnsi" w:eastAsiaTheme="minorEastAsia" w:hAnsiTheme="minorHAnsi" w:cstheme="minorBidi"/>
              </w:rPr>
            </w:pPr>
            <w:r w:rsidRPr="2FC1AB7B">
              <w:rPr>
                <w:rFonts w:asciiTheme="minorHAnsi" w:eastAsiaTheme="minorEastAsia" w:hAnsiTheme="minorHAnsi" w:cstheme="minorBidi"/>
              </w:rPr>
              <w:t xml:space="preserve">$882 </w:t>
            </w:r>
          </w:p>
        </w:tc>
        <w:tc>
          <w:tcPr>
            <w:tcW w:w="123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31F7A972" w14:textId="1F68580F"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 xml:space="preserve"> $1,049 </w:t>
            </w:r>
          </w:p>
        </w:tc>
      </w:tr>
      <w:tr w:rsidR="2FC1AB7B" w14:paraId="1D698022" w14:textId="77777777" w:rsidTr="2FC1AB7B">
        <w:trPr>
          <w:trHeight w:val="585"/>
        </w:trPr>
        <w:tc>
          <w:tcPr>
            <w:tcW w:w="2021" w:type="dxa"/>
            <w:tcBorders>
              <w:top w:val="single" w:sz="8" w:space="0" w:color="000000" w:themeColor="text1"/>
              <w:left w:val="single" w:sz="8" w:space="0" w:color="000000" w:themeColor="text1"/>
              <w:bottom w:val="nil"/>
              <w:right w:val="single" w:sz="4" w:space="0" w:color="000000" w:themeColor="text1"/>
            </w:tcBorders>
            <w:tcMar>
              <w:top w:w="15" w:type="dxa"/>
              <w:left w:w="15" w:type="dxa"/>
              <w:right w:w="15" w:type="dxa"/>
            </w:tcMar>
            <w:vAlign w:val="center"/>
          </w:tcPr>
          <w:p w14:paraId="22604786" w14:textId="2D83C235"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Industrial Radioactive Materials - depleted uranium</w:t>
            </w:r>
          </w:p>
        </w:tc>
        <w:tc>
          <w:tcPr>
            <w:tcW w:w="1809" w:type="dxa"/>
            <w:tcBorders>
              <w:top w:val="single" w:sz="8" w:space="0" w:color="000000" w:themeColor="text1"/>
              <w:left w:val="single" w:sz="4" w:space="0" w:color="000000" w:themeColor="text1"/>
              <w:bottom w:val="nil"/>
              <w:right w:val="single" w:sz="4" w:space="0" w:color="000000" w:themeColor="text1"/>
            </w:tcBorders>
            <w:tcMar>
              <w:top w:w="15" w:type="dxa"/>
              <w:left w:w="15" w:type="dxa"/>
              <w:right w:w="15" w:type="dxa"/>
            </w:tcMar>
            <w:vAlign w:val="center"/>
          </w:tcPr>
          <w:p w14:paraId="3BB6C8B4" w14:textId="5BBEEDAD"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RHF-20 (U-DEP)</w:t>
            </w:r>
          </w:p>
        </w:tc>
        <w:tc>
          <w:tcPr>
            <w:tcW w:w="3051" w:type="dxa"/>
            <w:tcBorders>
              <w:top w:val="single" w:sz="8" w:space="0" w:color="000000" w:themeColor="text1"/>
              <w:left w:val="single" w:sz="4" w:space="0" w:color="000000" w:themeColor="text1"/>
              <w:bottom w:val="nil"/>
              <w:right w:val="single" w:sz="4" w:space="0" w:color="000000" w:themeColor="text1"/>
            </w:tcBorders>
            <w:tcMar>
              <w:top w:w="15" w:type="dxa"/>
              <w:left w:w="15" w:type="dxa"/>
              <w:right w:w="15" w:type="dxa"/>
            </w:tcMar>
            <w:vAlign w:val="center"/>
          </w:tcPr>
          <w:p w14:paraId="4C6C64F4" w14:textId="767C504E" w:rsidR="2FC1AB7B" w:rsidRDefault="00DA7FB4" w:rsidP="2FC1AB7B">
            <w:pPr>
              <w:spacing w:after="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D</w:t>
            </w:r>
            <w:r w:rsidR="2FC1AB7B" w:rsidRPr="2FC1AB7B">
              <w:rPr>
                <w:rFonts w:asciiTheme="minorHAnsi" w:eastAsiaTheme="minorEastAsia" w:hAnsiTheme="minorHAnsi" w:cstheme="minorBidi"/>
                <w:color w:val="000000" w:themeColor="text1"/>
              </w:rPr>
              <w:t>epleted uranium form RHF-20</w:t>
            </w:r>
          </w:p>
        </w:tc>
        <w:tc>
          <w:tcPr>
            <w:tcW w:w="1238" w:type="dxa"/>
            <w:tcBorders>
              <w:top w:val="single" w:sz="8" w:space="0" w:color="000000" w:themeColor="text1"/>
              <w:left w:val="single" w:sz="4" w:space="0" w:color="000000" w:themeColor="text1"/>
              <w:bottom w:val="nil"/>
              <w:right w:val="single" w:sz="4" w:space="0" w:color="000000" w:themeColor="text1"/>
            </w:tcBorders>
            <w:tcMar>
              <w:top w:w="15" w:type="dxa"/>
              <w:left w:w="15" w:type="dxa"/>
              <w:right w:w="15" w:type="dxa"/>
            </w:tcMar>
            <w:vAlign w:val="bottom"/>
          </w:tcPr>
          <w:p w14:paraId="2EB15781" w14:textId="3701EF6A" w:rsidR="2FC1AB7B" w:rsidRDefault="2FC1AB7B" w:rsidP="2FC1AB7B">
            <w:pPr>
              <w:spacing w:after="0"/>
              <w:rPr>
                <w:rFonts w:asciiTheme="minorHAnsi" w:eastAsiaTheme="minorEastAsia" w:hAnsiTheme="minorHAnsi" w:cstheme="minorBidi"/>
              </w:rPr>
            </w:pPr>
            <w:r w:rsidRPr="2FC1AB7B">
              <w:rPr>
                <w:rFonts w:asciiTheme="minorHAnsi" w:eastAsiaTheme="minorEastAsia" w:hAnsiTheme="minorHAnsi" w:cstheme="minorBidi"/>
              </w:rPr>
              <w:t xml:space="preserve">$177 </w:t>
            </w:r>
          </w:p>
        </w:tc>
        <w:tc>
          <w:tcPr>
            <w:tcW w:w="1239" w:type="dxa"/>
            <w:tcBorders>
              <w:top w:val="single" w:sz="8" w:space="0" w:color="000000" w:themeColor="text1"/>
              <w:left w:val="single" w:sz="4" w:space="0" w:color="000000" w:themeColor="text1"/>
              <w:bottom w:val="nil"/>
              <w:right w:val="single" w:sz="8" w:space="0" w:color="000000" w:themeColor="text1"/>
            </w:tcBorders>
            <w:tcMar>
              <w:top w:w="15" w:type="dxa"/>
              <w:left w:w="15" w:type="dxa"/>
              <w:right w:w="15" w:type="dxa"/>
            </w:tcMar>
            <w:vAlign w:val="bottom"/>
          </w:tcPr>
          <w:p w14:paraId="143685E4" w14:textId="048CA0CE"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 xml:space="preserve"> $210 </w:t>
            </w:r>
          </w:p>
        </w:tc>
      </w:tr>
      <w:tr w:rsidR="2FC1AB7B" w14:paraId="0D45DA42" w14:textId="77777777" w:rsidTr="2FC1AB7B">
        <w:trPr>
          <w:trHeight w:val="585"/>
        </w:trPr>
        <w:tc>
          <w:tcPr>
            <w:tcW w:w="2021" w:type="dxa"/>
            <w:tcBorders>
              <w:top w:val="single" w:sz="8" w:space="0" w:color="000000" w:themeColor="text1"/>
              <w:left w:val="single" w:sz="8" w:space="0" w:color="000000" w:themeColor="text1"/>
              <w:bottom w:val="nil"/>
              <w:right w:val="single" w:sz="4" w:space="0" w:color="000000" w:themeColor="text1"/>
            </w:tcBorders>
            <w:tcMar>
              <w:top w:w="15" w:type="dxa"/>
              <w:left w:w="15" w:type="dxa"/>
              <w:right w:w="15" w:type="dxa"/>
            </w:tcMar>
            <w:vAlign w:val="center"/>
          </w:tcPr>
          <w:p w14:paraId="7441F22F" w14:textId="32BE46D1"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Industrial Radioactive Materials -general licenses</w:t>
            </w:r>
          </w:p>
        </w:tc>
        <w:tc>
          <w:tcPr>
            <w:tcW w:w="1809" w:type="dxa"/>
            <w:tcBorders>
              <w:top w:val="single" w:sz="8" w:space="0" w:color="000000" w:themeColor="text1"/>
              <w:left w:val="single" w:sz="4" w:space="0" w:color="000000" w:themeColor="text1"/>
              <w:bottom w:val="nil"/>
              <w:right w:val="single" w:sz="4" w:space="0" w:color="000000" w:themeColor="text1"/>
            </w:tcBorders>
            <w:tcMar>
              <w:top w:w="15" w:type="dxa"/>
              <w:left w:w="15" w:type="dxa"/>
              <w:right w:w="15" w:type="dxa"/>
            </w:tcMar>
            <w:vAlign w:val="center"/>
          </w:tcPr>
          <w:p w14:paraId="5EDD895A" w14:textId="1B1D3F2C"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GENERAL LICENSE REGISTRATION</w:t>
            </w:r>
          </w:p>
        </w:tc>
        <w:tc>
          <w:tcPr>
            <w:tcW w:w="3051" w:type="dxa"/>
            <w:tcBorders>
              <w:top w:val="single" w:sz="8" w:space="0" w:color="000000" w:themeColor="text1"/>
              <w:left w:val="single" w:sz="4" w:space="0" w:color="000000" w:themeColor="text1"/>
              <w:bottom w:val="nil"/>
              <w:right w:val="single" w:sz="4" w:space="0" w:color="000000" w:themeColor="text1"/>
            </w:tcBorders>
            <w:tcMar>
              <w:top w:w="15" w:type="dxa"/>
              <w:left w:w="15" w:type="dxa"/>
              <w:right w:w="15" w:type="dxa"/>
            </w:tcMar>
            <w:vAlign w:val="center"/>
          </w:tcPr>
          <w:p w14:paraId="3CC8DA63" w14:textId="18778767" w:rsidR="2FC1AB7B" w:rsidRDefault="00DA7FB4" w:rsidP="2FC1AB7B">
            <w:pPr>
              <w:spacing w:after="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G</w:t>
            </w:r>
            <w:r w:rsidR="2FC1AB7B" w:rsidRPr="2FC1AB7B">
              <w:rPr>
                <w:rFonts w:asciiTheme="minorHAnsi" w:eastAsiaTheme="minorEastAsia" w:hAnsiTheme="minorHAnsi" w:cstheme="minorBidi"/>
                <w:color w:val="000000" w:themeColor="text1"/>
              </w:rPr>
              <w:t>eneral licenses 246-233-020(3)(k) (producing light or ionized atmosphere)</w:t>
            </w:r>
          </w:p>
        </w:tc>
        <w:tc>
          <w:tcPr>
            <w:tcW w:w="1238" w:type="dxa"/>
            <w:tcBorders>
              <w:top w:val="single" w:sz="8" w:space="0" w:color="000000" w:themeColor="text1"/>
              <w:left w:val="single" w:sz="4" w:space="0" w:color="000000" w:themeColor="text1"/>
              <w:bottom w:val="nil"/>
              <w:right w:val="single" w:sz="4" w:space="0" w:color="000000" w:themeColor="text1"/>
            </w:tcBorders>
            <w:tcMar>
              <w:top w:w="15" w:type="dxa"/>
              <w:left w:w="15" w:type="dxa"/>
              <w:right w:w="15" w:type="dxa"/>
            </w:tcMar>
            <w:vAlign w:val="bottom"/>
          </w:tcPr>
          <w:p w14:paraId="238B8DB0" w14:textId="5395D90E" w:rsidR="2FC1AB7B" w:rsidRDefault="2FC1AB7B" w:rsidP="2FC1AB7B">
            <w:pPr>
              <w:spacing w:after="0"/>
              <w:rPr>
                <w:rFonts w:asciiTheme="minorHAnsi" w:eastAsiaTheme="minorEastAsia" w:hAnsiTheme="minorHAnsi" w:cstheme="minorBidi"/>
              </w:rPr>
            </w:pPr>
            <w:r w:rsidRPr="2FC1AB7B">
              <w:rPr>
                <w:rFonts w:asciiTheme="minorHAnsi" w:eastAsiaTheme="minorEastAsia" w:hAnsiTheme="minorHAnsi" w:cstheme="minorBidi"/>
              </w:rPr>
              <w:t xml:space="preserve">$527 </w:t>
            </w:r>
          </w:p>
        </w:tc>
        <w:tc>
          <w:tcPr>
            <w:tcW w:w="1239" w:type="dxa"/>
            <w:tcBorders>
              <w:top w:val="single" w:sz="8" w:space="0" w:color="000000" w:themeColor="text1"/>
              <w:left w:val="single" w:sz="4" w:space="0" w:color="000000" w:themeColor="text1"/>
              <w:bottom w:val="nil"/>
              <w:right w:val="single" w:sz="8" w:space="0" w:color="000000" w:themeColor="text1"/>
            </w:tcBorders>
            <w:tcMar>
              <w:top w:w="15" w:type="dxa"/>
              <w:left w:w="15" w:type="dxa"/>
              <w:right w:w="15" w:type="dxa"/>
            </w:tcMar>
            <w:vAlign w:val="bottom"/>
          </w:tcPr>
          <w:p w14:paraId="0EF162D2" w14:textId="0F81A4B1"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 xml:space="preserve"> $627 </w:t>
            </w:r>
          </w:p>
        </w:tc>
      </w:tr>
      <w:tr w:rsidR="2FC1AB7B" w14:paraId="1B930C18" w14:textId="77777777" w:rsidTr="00DA7FB4">
        <w:trPr>
          <w:trHeight w:val="1072"/>
        </w:trPr>
        <w:tc>
          <w:tcPr>
            <w:tcW w:w="2021" w:type="dxa"/>
            <w:vMerge w:val="restart"/>
            <w:tcBorders>
              <w:top w:val="single" w:sz="8"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7AFF7FE" w14:textId="46645C07"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Laboratory radioactive material licenses</w:t>
            </w:r>
          </w:p>
        </w:tc>
        <w:tc>
          <w:tcPr>
            <w:tcW w:w="1809" w:type="dxa"/>
            <w:tcBorders>
              <w:top w:val="single" w:sz="8"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52E2761" w14:textId="511EF39D"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LARGE LAB</w:t>
            </w:r>
          </w:p>
        </w:tc>
        <w:tc>
          <w:tcPr>
            <w:tcW w:w="3051" w:type="dxa"/>
            <w:tcBorders>
              <w:top w:val="single" w:sz="8"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C70DEE8" w14:textId="482D89BE" w:rsidR="2FC1AB7B" w:rsidRDefault="00DA7FB4" w:rsidP="2FC1AB7B">
            <w:pPr>
              <w:spacing w:after="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U</w:t>
            </w:r>
            <w:r w:rsidR="2FC1AB7B" w:rsidRPr="2FC1AB7B">
              <w:rPr>
                <w:rFonts w:asciiTheme="minorHAnsi" w:eastAsiaTheme="minorEastAsia" w:hAnsiTheme="minorHAnsi" w:cstheme="minorBidi"/>
                <w:color w:val="000000" w:themeColor="text1"/>
              </w:rPr>
              <w:t>nsealed sources greater than 1 millicurie of I-125 or I-131, or 100 millicuries of H-3 or C-14, or 10 millicuries of any single isotope</w:t>
            </w:r>
          </w:p>
        </w:tc>
        <w:tc>
          <w:tcPr>
            <w:tcW w:w="1238" w:type="dxa"/>
            <w:tcBorders>
              <w:top w:val="single" w:sz="8"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9E1EE83" w14:textId="3C8EB402" w:rsidR="2FC1AB7B" w:rsidRDefault="2FC1AB7B" w:rsidP="2FC1AB7B">
            <w:pPr>
              <w:spacing w:after="0"/>
              <w:rPr>
                <w:rFonts w:asciiTheme="minorHAnsi" w:eastAsiaTheme="minorEastAsia" w:hAnsiTheme="minorHAnsi" w:cstheme="minorBidi"/>
              </w:rPr>
            </w:pPr>
            <w:r w:rsidRPr="2FC1AB7B">
              <w:rPr>
                <w:rFonts w:asciiTheme="minorHAnsi" w:eastAsiaTheme="minorEastAsia" w:hAnsiTheme="minorHAnsi" w:cstheme="minorBidi"/>
              </w:rPr>
              <w:t xml:space="preserve">$9,563 </w:t>
            </w:r>
          </w:p>
        </w:tc>
        <w:tc>
          <w:tcPr>
            <w:tcW w:w="1239" w:type="dxa"/>
            <w:tcBorders>
              <w:top w:val="single" w:sz="8"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63C8E66C" w14:textId="02C3A8D6"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 xml:space="preserve"> $11,380 </w:t>
            </w:r>
          </w:p>
        </w:tc>
      </w:tr>
      <w:tr w:rsidR="2FC1AB7B" w14:paraId="381EC95E" w14:textId="77777777" w:rsidTr="2FC1AB7B">
        <w:trPr>
          <w:trHeight w:val="585"/>
        </w:trPr>
        <w:tc>
          <w:tcPr>
            <w:tcW w:w="2021" w:type="dxa"/>
            <w:vMerge/>
            <w:tcBorders>
              <w:left w:val="single" w:sz="0" w:space="0" w:color="000000" w:themeColor="text1"/>
              <w:right w:val="single" w:sz="0" w:space="0" w:color="000000" w:themeColor="text1"/>
            </w:tcBorders>
            <w:vAlign w:val="center"/>
          </w:tcPr>
          <w:p w14:paraId="73D27643" w14:textId="77777777" w:rsidR="007F769C" w:rsidRDefault="007F769C"/>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027DAB8" w14:textId="4F1D3802"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MEDIUM LAB</w:t>
            </w:r>
          </w:p>
        </w:tc>
        <w:tc>
          <w:tcPr>
            <w:tcW w:w="3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EF08454" w14:textId="2737592C" w:rsidR="2FC1AB7B" w:rsidRDefault="008B6F6B" w:rsidP="2FC1AB7B">
            <w:pPr>
              <w:spacing w:after="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U</w:t>
            </w:r>
            <w:r w:rsidR="2FC1AB7B" w:rsidRPr="2FC1AB7B">
              <w:rPr>
                <w:rFonts w:asciiTheme="minorHAnsi" w:eastAsiaTheme="minorEastAsia" w:hAnsiTheme="minorHAnsi" w:cstheme="minorBidi"/>
                <w:color w:val="000000" w:themeColor="text1"/>
              </w:rPr>
              <w:t xml:space="preserve">nsealed sources greater than .01 millicurie and less than or = to 1 millicurie of I-125 or I-131, greater </w:t>
            </w:r>
            <w:proofErr w:type="gramStart"/>
            <w:r w:rsidR="2FC1AB7B" w:rsidRPr="2FC1AB7B">
              <w:rPr>
                <w:rFonts w:asciiTheme="minorHAnsi" w:eastAsiaTheme="minorEastAsia" w:hAnsiTheme="minorHAnsi" w:cstheme="minorBidi"/>
                <w:color w:val="000000" w:themeColor="text1"/>
              </w:rPr>
              <w:t>than  10</w:t>
            </w:r>
            <w:proofErr w:type="gramEnd"/>
            <w:r w:rsidR="2FC1AB7B" w:rsidRPr="2FC1AB7B">
              <w:rPr>
                <w:rFonts w:asciiTheme="minorHAnsi" w:eastAsiaTheme="minorEastAsia" w:hAnsiTheme="minorHAnsi" w:cstheme="minorBidi"/>
                <w:color w:val="000000" w:themeColor="text1"/>
              </w:rPr>
              <w:t xml:space="preserve"> millicuries and less than or = to 100 MC of H-3 or C-14</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D3211E6" w14:textId="616D2357" w:rsidR="2FC1AB7B" w:rsidRDefault="2FC1AB7B" w:rsidP="2FC1AB7B">
            <w:pPr>
              <w:spacing w:after="0"/>
              <w:rPr>
                <w:rFonts w:asciiTheme="minorHAnsi" w:eastAsiaTheme="minorEastAsia" w:hAnsiTheme="minorHAnsi" w:cstheme="minorBidi"/>
              </w:rPr>
            </w:pPr>
            <w:r w:rsidRPr="2FC1AB7B">
              <w:rPr>
                <w:rFonts w:asciiTheme="minorHAnsi" w:eastAsiaTheme="minorEastAsia" w:hAnsiTheme="minorHAnsi" w:cstheme="minorBidi"/>
              </w:rPr>
              <w:t xml:space="preserve">$4,720 </w:t>
            </w:r>
          </w:p>
        </w:tc>
        <w:tc>
          <w:tcPr>
            <w:tcW w:w="123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0701874E" w14:textId="64D3076D"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 xml:space="preserve"> $5,617 </w:t>
            </w:r>
          </w:p>
        </w:tc>
      </w:tr>
      <w:tr w:rsidR="2FC1AB7B" w14:paraId="3570072E" w14:textId="77777777" w:rsidTr="2FC1AB7B">
        <w:trPr>
          <w:trHeight w:val="585"/>
        </w:trPr>
        <w:tc>
          <w:tcPr>
            <w:tcW w:w="2021" w:type="dxa"/>
            <w:vMerge/>
            <w:tcBorders>
              <w:left w:val="single" w:sz="0" w:space="0" w:color="000000" w:themeColor="text1"/>
              <w:right w:val="single" w:sz="0" w:space="0" w:color="000000" w:themeColor="text1"/>
            </w:tcBorders>
            <w:vAlign w:val="center"/>
          </w:tcPr>
          <w:p w14:paraId="2834C9E8" w14:textId="77777777" w:rsidR="007F769C" w:rsidRDefault="007F769C"/>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07AC51D" w14:textId="4A62D77E"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SMALL LAB</w:t>
            </w:r>
          </w:p>
        </w:tc>
        <w:tc>
          <w:tcPr>
            <w:tcW w:w="3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AC59D7C" w14:textId="5CBA3D0C" w:rsidR="2FC1AB7B" w:rsidRDefault="008B6F6B" w:rsidP="2FC1AB7B">
            <w:pPr>
              <w:spacing w:after="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G</w:t>
            </w:r>
            <w:r w:rsidR="2FC1AB7B" w:rsidRPr="2FC1AB7B">
              <w:rPr>
                <w:rFonts w:asciiTheme="minorHAnsi" w:eastAsiaTheme="minorEastAsia" w:hAnsiTheme="minorHAnsi" w:cstheme="minorBidi"/>
                <w:color w:val="000000" w:themeColor="text1"/>
              </w:rPr>
              <w:t xml:space="preserve">reater than .01 mc and </w:t>
            </w:r>
            <w:proofErr w:type="spellStart"/>
            <w:proofErr w:type="gramStart"/>
            <w:r w:rsidR="2FC1AB7B" w:rsidRPr="2FC1AB7B">
              <w:rPr>
                <w:rFonts w:asciiTheme="minorHAnsi" w:eastAsiaTheme="minorEastAsia" w:hAnsiTheme="minorHAnsi" w:cstheme="minorBidi"/>
                <w:color w:val="000000" w:themeColor="text1"/>
              </w:rPr>
              <w:t>les</w:t>
            </w:r>
            <w:proofErr w:type="spellEnd"/>
            <w:proofErr w:type="gramEnd"/>
            <w:r w:rsidR="2FC1AB7B" w:rsidRPr="2FC1AB7B">
              <w:rPr>
                <w:rFonts w:asciiTheme="minorHAnsi" w:eastAsiaTheme="minorEastAsia" w:hAnsiTheme="minorHAnsi" w:cstheme="minorBidi"/>
                <w:color w:val="000000" w:themeColor="text1"/>
              </w:rPr>
              <w:t xml:space="preserve"> than or = to .01 mc of I-125 or I-131, greater than 1 mc and less than or = to 10 mc of H-3 or C-14</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E2CA70E" w14:textId="5D2540B1" w:rsidR="2FC1AB7B" w:rsidRDefault="2FC1AB7B" w:rsidP="2FC1AB7B">
            <w:pPr>
              <w:spacing w:after="0"/>
              <w:rPr>
                <w:rFonts w:asciiTheme="minorHAnsi" w:eastAsiaTheme="minorEastAsia" w:hAnsiTheme="minorHAnsi" w:cstheme="minorBidi"/>
              </w:rPr>
            </w:pPr>
            <w:r w:rsidRPr="2FC1AB7B">
              <w:rPr>
                <w:rFonts w:asciiTheme="minorHAnsi" w:eastAsiaTheme="minorEastAsia" w:hAnsiTheme="minorHAnsi" w:cstheme="minorBidi"/>
              </w:rPr>
              <w:t xml:space="preserve">$3,972 </w:t>
            </w:r>
          </w:p>
        </w:tc>
        <w:tc>
          <w:tcPr>
            <w:tcW w:w="123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743F635B" w14:textId="744231B3"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 xml:space="preserve"> $4,727 </w:t>
            </w:r>
          </w:p>
        </w:tc>
      </w:tr>
      <w:tr w:rsidR="2FC1AB7B" w14:paraId="35A3DD72" w14:textId="77777777" w:rsidTr="2FC1AB7B">
        <w:trPr>
          <w:trHeight w:val="585"/>
        </w:trPr>
        <w:tc>
          <w:tcPr>
            <w:tcW w:w="2021" w:type="dxa"/>
            <w:vMerge/>
            <w:tcBorders>
              <w:left w:val="single" w:sz="0" w:space="0" w:color="000000" w:themeColor="text1"/>
              <w:right w:val="single" w:sz="0" w:space="0" w:color="000000" w:themeColor="text1"/>
            </w:tcBorders>
            <w:vAlign w:val="center"/>
          </w:tcPr>
          <w:p w14:paraId="47BA97F1" w14:textId="77777777" w:rsidR="007F769C" w:rsidRDefault="007F769C"/>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998758A" w14:textId="5911DD9B"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MICROLAB</w:t>
            </w:r>
          </w:p>
        </w:tc>
        <w:tc>
          <w:tcPr>
            <w:tcW w:w="3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BDDA956" w14:textId="065B18AC" w:rsidR="2FC1AB7B" w:rsidRDefault="008B6F6B" w:rsidP="2FC1AB7B">
            <w:pPr>
              <w:spacing w:after="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L</w:t>
            </w:r>
            <w:r w:rsidR="2FC1AB7B" w:rsidRPr="2FC1AB7B">
              <w:rPr>
                <w:rFonts w:asciiTheme="minorHAnsi" w:eastAsiaTheme="minorEastAsia" w:hAnsiTheme="minorHAnsi" w:cstheme="minorBidi"/>
                <w:color w:val="000000" w:themeColor="text1"/>
              </w:rPr>
              <w:t>ess than or = to .01 mc of I-125 or I-131, less than or = to 1 mc of H-3 or C-14, less than or = to .1 mc of any other single isotope</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5A16BD7" w14:textId="7FB2011E" w:rsidR="2FC1AB7B" w:rsidRDefault="2FC1AB7B" w:rsidP="2FC1AB7B">
            <w:pPr>
              <w:spacing w:after="0"/>
              <w:rPr>
                <w:rFonts w:asciiTheme="minorHAnsi" w:eastAsiaTheme="minorEastAsia" w:hAnsiTheme="minorHAnsi" w:cstheme="minorBidi"/>
              </w:rPr>
            </w:pPr>
            <w:r w:rsidRPr="2FC1AB7B">
              <w:rPr>
                <w:rFonts w:asciiTheme="minorHAnsi" w:eastAsiaTheme="minorEastAsia" w:hAnsiTheme="minorHAnsi" w:cstheme="minorBidi"/>
              </w:rPr>
              <w:t xml:space="preserve">$1,360 </w:t>
            </w:r>
          </w:p>
        </w:tc>
        <w:tc>
          <w:tcPr>
            <w:tcW w:w="123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4A7BC3FA" w14:textId="35C2C52D"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 xml:space="preserve"> $1,618 </w:t>
            </w:r>
          </w:p>
        </w:tc>
      </w:tr>
      <w:tr w:rsidR="2FC1AB7B" w14:paraId="5D2C29BC" w14:textId="77777777" w:rsidTr="2FC1AB7B">
        <w:trPr>
          <w:trHeight w:val="585"/>
        </w:trPr>
        <w:tc>
          <w:tcPr>
            <w:tcW w:w="2021" w:type="dxa"/>
            <w:vMerge/>
            <w:tcBorders>
              <w:left w:val="single" w:sz="0" w:space="0" w:color="000000" w:themeColor="text1"/>
              <w:bottom w:val="single" w:sz="0" w:space="0" w:color="000000" w:themeColor="text1"/>
              <w:right w:val="single" w:sz="0" w:space="0" w:color="000000" w:themeColor="text1"/>
            </w:tcBorders>
            <w:vAlign w:val="center"/>
          </w:tcPr>
          <w:p w14:paraId="62E5FF69" w14:textId="77777777" w:rsidR="007F769C" w:rsidRDefault="007F769C"/>
        </w:tc>
        <w:tc>
          <w:tcPr>
            <w:tcW w:w="1809" w:type="dxa"/>
            <w:tcBorders>
              <w:top w:val="single" w:sz="4" w:space="0" w:color="000000" w:themeColor="text1"/>
              <w:left w:val="nil"/>
              <w:bottom w:val="nil"/>
              <w:right w:val="nil"/>
            </w:tcBorders>
            <w:tcMar>
              <w:top w:w="15" w:type="dxa"/>
              <w:left w:w="15" w:type="dxa"/>
              <w:right w:w="15" w:type="dxa"/>
            </w:tcMar>
            <w:vAlign w:val="bottom"/>
          </w:tcPr>
          <w:p w14:paraId="4F8A1D47" w14:textId="3FF10CEA"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N/A</w:t>
            </w:r>
          </w:p>
        </w:tc>
        <w:tc>
          <w:tcPr>
            <w:tcW w:w="3051" w:type="dxa"/>
            <w:tcBorders>
              <w:top w:val="single" w:sz="4" w:space="0" w:color="000000" w:themeColor="text1"/>
              <w:left w:val="single" w:sz="4" w:space="0" w:color="000000" w:themeColor="text1"/>
              <w:bottom w:val="nil"/>
              <w:right w:val="single" w:sz="4" w:space="0" w:color="000000" w:themeColor="text1"/>
            </w:tcBorders>
            <w:tcMar>
              <w:top w:w="15" w:type="dxa"/>
              <w:left w:w="15" w:type="dxa"/>
              <w:right w:w="15" w:type="dxa"/>
            </w:tcMar>
            <w:vAlign w:val="center"/>
          </w:tcPr>
          <w:p w14:paraId="79D587C5" w14:textId="51EFB81A" w:rsidR="2FC1AB7B" w:rsidRDefault="008B6F6B" w:rsidP="2FC1AB7B">
            <w:pPr>
              <w:spacing w:after="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L</w:t>
            </w:r>
            <w:r w:rsidR="2FC1AB7B" w:rsidRPr="2FC1AB7B">
              <w:rPr>
                <w:rFonts w:asciiTheme="minorHAnsi" w:eastAsiaTheme="minorEastAsia" w:hAnsiTheme="minorHAnsi" w:cstheme="minorBidi"/>
                <w:color w:val="000000" w:themeColor="text1"/>
              </w:rPr>
              <w:t>arge quantities of naturally occurring radioactive mat total concentration not exceeding .002 mc / gram</w:t>
            </w:r>
          </w:p>
        </w:tc>
        <w:tc>
          <w:tcPr>
            <w:tcW w:w="1238" w:type="dxa"/>
            <w:tcBorders>
              <w:top w:val="single" w:sz="4" w:space="0" w:color="000000" w:themeColor="text1"/>
              <w:left w:val="single" w:sz="4" w:space="0" w:color="000000" w:themeColor="text1"/>
              <w:bottom w:val="nil"/>
              <w:right w:val="single" w:sz="4" w:space="0" w:color="000000" w:themeColor="text1"/>
            </w:tcBorders>
            <w:tcMar>
              <w:top w:w="15" w:type="dxa"/>
              <w:left w:w="15" w:type="dxa"/>
              <w:right w:w="15" w:type="dxa"/>
            </w:tcMar>
            <w:vAlign w:val="bottom"/>
          </w:tcPr>
          <w:p w14:paraId="6B4C986A" w14:textId="33D455E6" w:rsidR="2FC1AB7B" w:rsidRDefault="2FC1AB7B" w:rsidP="2FC1AB7B">
            <w:pPr>
              <w:spacing w:after="0"/>
              <w:rPr>
                <w:rFonts w:asciiTheme="minorHAnsi" w:eastAsiaTheme="minorEastAsia" w:hAnsiTheme="minorHAnsi" w:cstheme="minorBidi"/>
              </w:rPr>
            </w:pPr>
            <w:r w:rsidRPr="2FC1AB7B">
              <w:rPr>
                <w:rFonts w:asciiTheme="minorHAnsi" w:eastAsiaTheme="minorEastAsia" w:hAnsiTheme="minorHAnsi" w:cstheme="minorBidi"/>
              </w:rPr>
              <w:t xml:space="preserve">$1,833 </w:t>
            </w:r>
          </w:p>
        </w:tc>
        <w:tc>
          <w:tcPr>
            <w:tcW w:w="1239" w:type="dxa"/>
            <w:tcBorders>
              <w:top w:val="single" w:sz="4" w:space="0" w:color="000000" w:themeColor="text1"/>
              <w:left w:val="single" w:sz="4" w:space="0" w:color="000000" w:themeColor="text1"/>
              <w:bottom w:val="nil"/>
              <w:right w:val="single" w:sz="8" w:space="0" w:color="000000" w:themeColor="text1"/>
            </w:tcBorders>
            <w:tcMar>
              <w:top w:w="15" w:type="dxa"/>
              <w:left w:w="15" w:type="dxa"/>
              <w:right w:w="15" w:type="dxa"/>
            </w:tcMar>
            <w:vAlign w:val="bottom"/>
          </w:tcPr>
          <w:p w14:paraId="329DE09A" w14:textId="5FF674C8"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 xml:space="preserve"> $2,181 </w:t>
            </w:r>
          </w:p>
        </w:tc>
      </w:tr>
      <w:tr w:rsidR="2FC1AB7B" w14:paraId="7BEF2526" w14:textId="77777777" w:rsidTr="008B6F6B">
        <w:trPr>
          <w:trHeight w:val="810"/>
        </w:trPr>
        <w:tc>
          <w:tcPr>
            <w:tcW w:w="2021"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480B25D6" w14:textId="2B6F0B77"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Laboratory radioactive material licenses -in vitro testing form RHF-15</w:t>
            </w:r>
          </w:p>
        </w:tc>
        <w:tc>
          <w:tcPr>
            <w:tcW w:w="1809" w:type="dxa"/>
            <w:tcBorders>
              <w:top w:val="single" w:sz="8" w:space="0" w:color="000000" w:themeColor="text1"/>
              <w:left w:val="single" w:sz="4" w:space="0" w:color="000000" w:themeColor="text1"/>
              <w:bottom w:val="single" w:sz="4" w:space="0" w:color="auto"/>
              <w:right w:val="single" w:sz="4" w:space="0" w:color="000000" w:themeColor="text1"/>
            </w:tcBorders>
            <w:tcMar>
              <w:top w:w="15" w:type="dxa"/>
              <w:left w:w="15" w:type="dxa"/>
              <w:right w:w="15" w:type="dxa"/>
            </w:tcMar>
            <w:vAlign w:val="center"/>
          </w:tcPr>
          <w:p w14:paraId="66AE6240" w14:textId="3196555B"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RHF-15 IN-VITRO LAB</w:t>
            </w:r>
          </w:p>
        </w:tc>
        <w:tc>
          <w:tcPr>
            <w:tcW w:w="3051" w:type="dxa"/>
            <w:tcBorders>
              <w:top w:val="single" w:sz="8" w:space="0" w:color="000000" w:themeColor="text1"/>
              <w:left w:val="single" w:sz="4"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740EA0F7" w14:textId="06514947" w:rsidR="2FC1AB7B" w:rsidRDefault="008B6F6B" w:rsidP="2FC1AB7B">
            <w:pPr>
              <w:spacing w:after="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I</w:t>
            </w:r>
            <w:r w:rsidR="2FC1AB7B" w:rsidRPr="2FC1AB7B">
              <w:rPr>
                <w:rFonts w:asciiTheme="minorHAnsi" w:eastAsiaTheme="minorEastAsia" w:hAnsiTheme="minorHAnsi" w:cstheme="minorBidi"/>
                <w:color w:val="000000" w:themeColor="text1"/>
              </w:rPr>
              <w:t>n vitro testing</w:t>
            </w:r>
          </w:p>
        </w:tc>
        <w:tc>
          <w:tcPr>
            <w:tcW w:w="1238" w:type="dxa"/>
            <w:tcBorders>
              <w:top w:val="single" w:sz="8" w:space="0" w:color="000000" w:themeColor="text1"/>
              <w:left w:val="single" w:sz="4" w:space="0" w:color="000000" w:themeColor="text1"/>
              <w:bottom w:val="single" w:sz="8" w:space="0" w:color="000000" w:themeColor="text1"/>
              <w:right w:val="single" w:sz="4" w:space="0" w:color="000000" w:themeColor="text1"/>
            </w:tcBorders>
            <w:tcMar>
              <w:top w:w="15" w:type="dxa"/>
              <w:left w:w="15" w:type="dxa"/>
              <w:right w:w="15" w:type="dxa"/>
            </w:tcMar>
            <w:vAlign w:val="bottom"/>
          </w:tcPr>
          <w:p w14:paraId="2DEEA261" w14:textId="6A18E536" w:rsidR="2FC1AB7B" w:rsidRDefault="2FC1AB7B" w:rsidP="2FC1AB7B">
            <w:pPr>
              <w:spacing w:after="0"/>
              <w:rPr>
                <w:rFonts w:asciiTheme="minorHAnsi" w:eastAsiaTheme="minorEastAsia" w:hAnsiTheme="minorHAnsi" w:cstheme="minorBidi"/>
              </w:rPr>
            </w:pPr>
            <w:r w:rsidRPr="2FC1AB7B">
              <w:rPr>
                <w:rFonts w:asciiTheme="minorHAnsi" w:eastAsiaTheme="minorEastAsia" w:hAnsiTheme="minorHAnsi" w:cstheme="minorBidi"/>
              </w:rPr>
              <w:t xml:space="preserve">$177 </w:t>
            </w:r>
          </w:p>
        </w:tc>
        <w:tc>
          <w:tcPr>
            <w:tcW w:w="1239"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6F25C0C4" w14:textId="75A080C2"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 xml:space="preserve"> $210 </w:t>
            </w:r>
          </w:p>
        </w:tc>
      </w:tr>
      <w:tr w:rsidR="2FC1AB7B" w14:paraId="5342F5EB" w14:textId="77777777" w:rsidTr="008B6F6B">
        <w:trPr>
          <w:trHeight w:val="955"/>
        </w:trPr>
        <w:tc>
          <w:tcPr>
            <w:tcW w:w="2021" w:type="dxa"/>
            <w:vMerge w:val="restart"/>
            <w:tcBorders>
              <w:top w:val="single" w:sz="8" w:space="0" w:color="000000" w:themeColor="text1"/>
              <w:left w:val="single" w:sz="8" w:space="0" w:color="000000" w:themeColor="text1"/>
              <w:bottom w:val="single" w:sz="4" w:space="0" w:color="000000" w:themeColor="text1"/>
              <w:right w:val="single" w:sz="4" w:space="0" w:color="auto"/>
            </w:tcBorders>
            <w:tcMar>
              <w:top w:w="15" w:type="dxa"/>
              <w:left w:w="15" w:type="dxa"/>
              <w:right w:w="15" w:type="dxa"/>
            </w:tcMar>
            <w:vAlign w:val="center"/>
          </w:tcPr>
          <w:p w14:paraId="7A283ACC" w14:textId="607A43C3"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Licensing and compliance actions - additional fees to the above</w:t>
            </w:r>
          </w:p>
        </w:tc>
        <w:tc>
          <w:tcPr>
            <w:tcW w:w="18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A601BC" w14:textId="08743F86"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N/A</w:t>
            </w:r>
          </w:p>
        </w:tc>
        <w:tc>
          <w:tcPr>
            <w:tcW w:w="3051" w:type="dxa"/>
            <w:tcBorders>
              <w:top w:val="single" w:sz="8" w:space="0" w:color="000000" w:themeColor="text1"/>
              <w:left w:val="single" w:sz="4" w:space="0" w:color="auto"/>
              <w:bottom w:val="single" w:sz="4" w:space="0" w:color="000000" w:themeColor="text1"/>
              <w:right w:val="single" w:sz="4" w:space="0" w:color="000000" w:themeColor="text1"/>
            </w:tcBorders>
            <w:tcMar>
              <w:top w:w="15" w:type="dxa"/>
              <w:left w:w="15" w:type="dxa"/>
              <w:right w:w="15" w:type="dxa"/>
            </w:tcMar>
            <w:vAlign w:val="center"/>
          </w:tcPr>
          <w:p w14:paraId="75A7F91C" w14:textId="399EB268"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2nd follow-up inspection per hour, and each thereafter, capped at $2950 - 10 hrs.</w:t>
            </w:r>
          </w:p>
        </w:tc>
        <w:tc>
          <w:tcPr>
            <w:tcW w:w="1238" w:type="dxa"/>
            <w:tcBorders>
              <w:top w:val="single" w:sz="8"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8B34847" w14:textId="52FBDA79" w:rsidR="2FC1AB7B" w:rsidRDefault="2FC1AB7B" w:rsidP="2FC1AB7B">
            <w:pPr>
              <w:spacing w:after="0"/>
              <w:rPr>
                <w:rFonts w:asciiTheme="minorHAnsi" w:eastAsiaTheme="minorEastAsia" w:hAnsiTheme="minorHAnsi" w:cstheme="minorBidi"/>
              </w:rPr>
            </w:pPr>
            <w:r w:rsidRPr="2FC1AB7B">
              <w:rPr>
                <w:rFonts w:asciiTheme="minorHAnsi" w:eastAsiaTheme="minorEastAsia" w:hAnsiTheme="minorHAnsi" w:cstheme="minorBidi"/>
              </w:rPr>
              <w:t xml:space="preserve">$248 </w:t>
            </w:r>
          </w:p>
        </w:tc>
        <w:tc>
          <w:tcPr>
            <w:tcW w:w="1239" w:type="dxa"/>
            <w:tcBorders>
              <w:top w:val="single" w:sz="8"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51A52454" w14:textId="759F5C18"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 xml:space="preserve"> $295 </w:t>
            </w:r>
          </w:p>
        </w:tc>
      </w:tr>
      <w:tr w:rsidR="2FC1AB7B" w14:paraId="155A767C" w14:textId="77777777" w:rsidTr="008B6F6B">
        <w:trPr>
          <w:trHeight w:val="300"/>
        </w:trPr>
        <w:tc>
          <w:tcPr>
            <w:tcW w:w="2021" w:type="dxa"/>
            <w:vMerge/>
            <w:tcBorders>
              <w:left w:val="single" w:sz="0" w:space="0" w:color="000000" w:themeColor="text1"/>
              <w:right w:val="single" w:sz="4" w:space="0" w:color="auto"/>
            </w:tcBorders>
            <w:vAlign w:val="center"/>
          </w:tcPr>
          <w:p w14:paraId="36497523" w14:textId="77777777" w:rsidR="007F769C" w:rsidRDefault="007F769C"/>
        </w:tc>
        <w:tc>
          <w:tcPr>
            <w:tcW w:w="18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0E28B9" w14:textId="1DD44DEE"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N/A</w:t>
            </w:r>
          </w:p>
        </w:tc>
        <w:tc>
          <w:tcPr>
            <w:tcW w:w="3051" w:type="dxa"/>
            <w:tcBorders>
              <w:top w:val="single" w:sz="4" w:space="0" w:color="000000" w:themeColor="text1"/>
              <w:left w:val="single" w:sz="4" w:space="0" w:color="auto"/>
              <w:bottom w:val="single" w:sz="4" w:space="0" w:color="000000" w:themeColor="text1"/>
              <w:right w:val="single" w:sz="4" w:space="0" w:color="000000" w:themeColor="text1"/>
            </w:tcBorders>
            <w:tcMar>
              <w:top w:w="15" w:type="dxa"/>
              <w:left w:w="15" w:type="dxa"/>
              <w:right w:w="15" w:type="dxa"/>
            </w:tcMar>
            <w:vAlign w:val="center"/>
          </w:tcPr>
          <w:p w14:paraId="26DF33AA" w14:textId="1BB4BEB7" w:rsidR="2FC1AB7B" w:rsidRDefault="008B6F6B" w:rsidP="2FC1AB7B">
            <w:pPr>
              <w:spacing w:after="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E</w:t>
            </w:r>
            <w:r w:rsidR="2FC1AB7B" w:rsidRPr="2FC1AB7B">
              <w:rPr>
                <w:rFonts w:asciiTheme="minorHAnsi" w:eastAsiaTheme="minorEastAsia" w:hAnsiTheme="minorHAnsi" w:cstheme="minorBidi"/>
                <w:color w:val="000000" w:themeColor="text1"/>
              </w:rPr>
              <w:t xml:space="preserve">nvironmental </w:t>
            </w:r>
            <w:proofErr w:type="spellStart"/>
            <w:r w:rsidR="2FC1AB7B" w:rsidRPr="2FC1AB7B">
              <w:rPr>
                <w:rFonts w:asciiTheme="minorHAnsi" w:eastAsiaTheme="minorEastAsia" w:hAnsiTheme="minorHAnsi" w:cstheme="minorBidi"/>
                <w:color w:val="000000" w:themeColor="text1"/>
              </w:rPr>
              <w:t>clean up</w:t>
            </w:r>
            <w:proofErr w:type="spellEnd"/>
            <w:r w:rsidR="2FC1AB7B" w:rsidRPr="2FC1AB7B">
              <w:rPr>
                <w:rFonts w:asciiTheme="minorHAnsi" w:eastAsiaTheme="minorEastAsia" w:hAnsiTheme="minorHAnsi" w:cstheme="minorBidi"/>
                <w:color w:val="000000" w:themeColor="text1"/>
              </w:rPr>
              <w:t xml:space="preserve"> per hour monitoring, max $7375</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1AF0284" w14:textId="7C5D2F64" w:rsidR="2FC1AB7B" w:rsidRDefault="2FC1AB7B" w:rsidP="2FC1AB7B">
            <w:pPr>
              <w:spacing w:after="0"/>
              <w:rPr>
                <w:rFonts w:asciiTheme="minorHAnsi" w:eastAsiaTheme="minorEastAsia" w:hAnsiTheme="minorHAnsi" w:cstheme="minorBidi"/>
              </w:rPr>
            </w:pPr>
            <w:r w:rsidRPr="2FC1AB7B">
              <w:rPr>
                <w:rFonts w:asciiTheme="minorHAnsi" w:eastAsiaTheme="minorEastAsia" w:hAnsiTheme="minorHAnsi" w:cstheme="minorBidi"/>
              </w:rPr>
              <w:t xml:space="preserve">$248 </w:t>
            </w:r>
          </w:p>
        </w:tc>
        <w:tc>
          <w:tcPr>
            <w:tcW w:w="123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4B02B2BC" w14:textId="1AC5804C"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 xml:space="preserve"> $295 </w:t>
            </w:r>
          </w:p>
        </w:tc>
      </w:tr>
      <w:tr w:rsidR="2FC1AB7B" w14:paraId="2EB450D1" w14:textId="77777777" w:rsidTr="00AA4AD8">
        <w:trPr>
          <w:trHeight w:val="300"/>
        </w:trPr>
        <w:tc>
          <w:tcPr>
            <w:tcW w:w="2021" w:type="dxa"/>
            <w:vMerge/>
            <w:tcBorders>
              <w:left w:val="single" w:sz="0" w:space="0" w:color="000000" w:themeColor="text1"/>
              <w:bottom w:val="single" w:sz="0" w:space="0" w:color="000000" w:themeColor="text1"/>
              <w:right w:val="single" w:sz="0" w:space="0" w:color="000000" w:themeColor="text1"/>
            </w:tcBorders>
            <w:vAlign w:val="center"/>
          </w:tcPr>
          <w:p w14:paraId="1660387F" w14:textId="77777777" w:rsidR="007F769C" w:rsidRDefault="007F769C"/>
        </w:tc>
        <w:tc>
          <w:tcPr>
            <w:tcW w:w="1809" w:type="dxa"/>
            <w:tcBorders>
              <w:top w:val="single" w:sz="4" w:space="0" w:color="auto"/>
              <w:left w:val="single" w:sz="4" w:space="0" w:color="000000" w:themeColor="text1"/>
              <w:bottom w:val="single" w:sz="4" w:space="0" w:color="auto"/>
              <w:right w:val="single" w:sz="4" w:space="0" w:color="000000" w:themeColor="text1"/>
            </w:tcBorders>
            <w:tcMar>
              <w:top w:w="15" w:type="dxa"/>
              <w:left w:w="15" w:type="dxa"/>
              <w:right w:w="15" w:type="dxa"/>
            </w:tcMar>
            <w:vAlign w:val="center"/>
          </w:tcPr>
          <w:p w14:paraId="2ECD7AFF" w14:textId="5D587CCF"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Various</w:t>
            </w:r>
          </w:p>
        </w:tc>
        <w:tc>
          <w:tcPr>
            <w:tcW w:w="3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E12F9C8" w14:textId="62964244" w:rsidR="2FC1AB7B" w:rsidRDefault="008B6F6B" w:rsidP="2FC1AB7B">
            <w:pPr>
              <w:spacing w:after="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N</w:t>
            </w:r>
            <w:r w:rsidR="2FC1AB7B" w:rsidRPr="2FC1AB7B">
              <w:rPr>
                <w:rFonts w:asciiTheme="minorHAnsi" w:eastAsiaTheme="minorEastAsia" w:hAnsiTheme="minorHAnsi" w:cstheme="minorBidi"/>
                <w:color w:val="000000" w:themeColor="text1"/>
              </w:rPr>
              <w:t>ew license application</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F5EA6A7" w14:textId="66C7ED68" w:rsidR="2FC1AB7B" w:rsidRDefault="2FC1AB7B" w:rsidP="2FC1AB7B">
            <w:pPr>
              <w:spacing w:after="0"/>
              <w:rPr>
                <w:rFonts w:asciiTheme="minorHAnsi" w:eastAsiaTheme="minorEastAsia" w:hAnsiTheme="minorHAnsi" w:cstheme="minorBidi"/>
              </w:rPr>
            </w:pPr>
            <w:r w:rsidRPr="2FC1AB7B">
              <w:rPr>
                <w:rFonts w:asciiTheme="minorHAnsi" w:eastAsiaTheme="minorEastAsia" w:hAnsiTheme="minorHAnsi" w:cstheme="minorBidi"/>
              </w:rPr>
              <w:t xml:space="preserve">$398 </w:t>
            </w:r>
          </w:p>
        </w:tc>
        <w:tc>
          <w:tcPr>
            <w:tcW w:w="123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2AB25624" w14:textId="1B798AE4"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 xml:space="preserve"> $474 </w:t>
            </w:r>
          </w:p>
        </w:tc>
      </w:tr>
      <w:tr w:rsidR="2FC1AB7B" w14:paraId="0369E672" w14:textId="77777777" w:rsidTr="00AA4AD8">
        <w:trPr>
          <w:trHeight w:val="300"/>
        </w:trPr>
        <w:tc>
          <w:tcPr>
            <w:tcW w:w="2021" w:type="dxa"/>
            <w:vMerge/>
            <w:tcBorders>
              <w:left w:val="single" w:sz="0" w:space="0" w:color="000000" w:themeColor="text1"/>
              <w:bottom w:val="single" w:sz="0" w:space="0" w:color="000000" w:themeColor="text1"/>
              <w:right w:val="single" w:sz="4" w:space="0" w:color="auto"/>
            </w:tcBorders>
            <w:vAlign w:val="center"/>
          </w:tcPr>
          <w:p w14:paraId="0411E397" w14:textId="77777777" w:rsidR="007F769C" w:rsidRDefault="007F769C"/>
        </w:tc>
        <w:tc>
          <w:tcPr>
            <w:tcW w:w="18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F24A21" w14:textId="0FA94002"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N/A</w:t>
            </w:r>
          </w:p>
        </w:tc>
        <w:tc>
          <w:tcPr>
            <w:tcW w:w="3051" w:type="dxa"/>
            <w:tcBorders>
              <w:top w:val="single" w:sz="4" w:space="0" w:color="000000" w:themeColor="text1"/>
              <w:left w:val="single" w:sz="4" w:space="0" w:color="auto"/>
              <w:bottom w:val="single" w:sz="4" w:space="0" w:color="000000" w:themeColor="text1"/>
              <w:right w:val="single" w:sz="4" w:space="0" w:color="000000" w:themeColor="text1"/>
            </w:tcBorders>
            <w:tcMar>
              <w:top w:w="15" w:type="dxa"/>
              <w:left w:w="15" w:type="dxa"/>
              <w:right w:w="15" w:type="dxa"/>
            </w:tcMar>
            <w:vAlign w:val="center"/>
          </w:tcPr>
          <w:p w14:paraId="1A662906" w14:textId="75D223F2" w:rsidR="2FC1AB7B" w:rsidRDefault="008B6F6B" w:rsidP="2FC1AB7B">
            <w:pPr>
              <w:spacing w:after="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S</w:t>
            </w:r>
            <w:r w:rsidR="2FC1AB7B" w:rsidRPr="2FC1AB7B">
              <w:rPr>
                <w:rFonts w:asciiTheme="minorHAnsi" w:eastAsiaTheme="minorEastAsia" w:hAnsiTheme="minorHAnsi" w:cstheme="minorBidi"/>
                <w:color w:val="000000" w:themeColor="text1"/>
              </w:rPr>
              <w:t>ealed source/device evaluation per hour, not to exceed $9135</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9B34C60" w14:textId="44ED1F95" w:rsidR="2FC1AB7B" w:rsidRDefault="2FC1AB7B" w:rsidP="2FC1AB7B">
            <w:pPr>
              <w:spacing w:after="0"/>
              <w:rPr>
                <w:rFonts w:asciiTheme="minorHAnsi" w:eastAsiaTheme="minorEastAsia" w:hAnsiTheme="minorHAnsi" w:cstheme="minorBidi"/>
              </w:rPr>
            </w:pPr>
            <w:r w:rsidRPr="2FC1AB7B">
              <w:rPr>
                <w:rFonts w:asciiTheme="minorHAnsi" w:eastAsiaTheme="minorEastAsia" w:hAnsiTheme="minorHAnsi" w:cstheme="minorBidi"/>
              </w:rPr>
              <w:t xml:space="preserve">$248 </w:t>
            </w:r>
          </w:p>
        </w:tc>
        <w:tc>
          <w:tcPr>
            <w:tcW w:w="123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2A20ADE3" w14:textId="61F62577"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 xml:space="preserve"> $295 </w:t>
            </w:r>
          </w:p>
        </w:tc>
      </w:tr>
      <w:tr w:rsidR="2FC1AB7B" w14:paraId="11BEC279" w14:textId="77777777" w:rsidTr="00AA4AD8">
        <w:trPr>
          <w:trHeight w:val="960"/>
        </w:trPr>
        <w:tc>
          <w:tcPr>
            <w:tcW w:w="2021" w:type="dxa"/>
            <w:vMerge/>
            <w:tcBorders>
              <w:left w:val="single" w:sz="0" w:space="0" w:color="000000" w:themeColor="text1"/>
              <w:right w:val="single" w:sz="4" w:space="0" w:color="auto"/>
            </w:tcBorders>
            <w:vAlign w:val="center"/>
          </w:tcPr>
          <w:p w14:paraId="45F134A1" w14:textId="77777777" w:rsidR="007F769C" w:rsidRDefault="007F769C"/>
        </w:tc>
        <w:tc>
          <w:tcPr>
            <w:tcW w:w="18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6254A6A" w14:textId="2D40C0FA"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N/A</w:t>
            </w:r>
          </w:p>
        </w:tc>
        <w:tc>
          <w:tcPr>
            <w:tcW w:w="3051" w:type="dxa"/>
            <w:tcBorders>
              <w:top w:val="single" w:sz="4" w:space="0" w:color="000000" w:themeColor="text1"/>
              <w:left w:val="single" w:sz="4" w:space="0" w:color="auto"/>
              <w:bottom w:val="single" w:sz="4" w:space="0" w:color="000000" w:themeColor="text1"/>
              <w:right w:val="single" w:sz="4" w:space="0" w:color="000000" w:themeColor="text1"/>
            </w:tcBorders>
            <w:tcMar>
              <w:top w:w="15" w:type="dxa"/>
              <w:left w:w="15" w:type="dxa"/>
              <w:right w:w="15" w:type="dxa"/>
            </w:tcMar>
            <w:vAlign w:val="center"/>
          </w:tcPr>
          <w:p w14:paraId="585B261E" w14:textId="0CB5D8BD" w:rsidR="2FC1AB7B" w:rsidRDefault="008B6F6B" w:rsidP="2FC1AB7B">
            <w:pPr>
              <w:spacing w:after="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R</w:t>
            </w:r>
            <w:r w:rsidR="2FC1AB7B" w:rsidRPr="2FC1AB7B">
              <w:rPr>
                <w:rFonts w:asciiTheme="minorHAnsi" w:eastAsiaTheme="minorEastAsia" w:hAnsiTheme="minorHAnsi" w:cstheme="minorBidi"/>
                <w:color w:val="000000" w:themeColor="text1"/>
              </w:rPr>
              <w:t xml:space="preserve">eview air emission and environmental programs per hour, data collection, analysis of samples, decommissioning activities - by qualified staff (not rad mats staff unless special service charge exceeding 10% of annual fee. </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EC28516" w14:textId="3FBE6FDB" w:rsidR="2FC1AB7B" w:rsidRDefault="2FC1AB7B" w:rsidP="2FC1AB7B">
            <w:pPr>
              <w:spacing w:after="0"/>
              <w:rPr>
                <w:rFonts w:asciiTheme="minorHAnsi" w:eastAsiaTheme="minorEastAsia" w:hAnsiTheme="minorHAnsi" w:cstheme="minorBidi"/>
              </w:rPr>
            </w:pPr>
            <w:r w:rsidRPr="2FC1AB7B">
              <w:rPr>
                <w:rFonts w:asciiTheme="minorHAnsi" w:eastAsiaTheme="minorEastAsia" w:hAnsiTheme="minorHAnsi" w:cstheme="minorBidi"/>
              </w:rPr>
              <w:t xml:space="preserve"> $248 </w:t>
            </w:r>
          </w:p>
        </w:tc>
        <w:tc>
          <w:tcPr>
            <w:tcW w:w="123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273999EE" w14:textId="77667408"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 xml:space="preserve"> $295 </w:t>
            </w:r>
          </w:p>
        </w:tc>
      </w:tr>
      <w:tr w:rsidR="2FC1AB7B" w14:paraId="488573B5" w14:textId="77777777" w:rsidTr="00AA4AD8">
        <w:trPr>
          <w:trHeight w:val="300"/>
        </w:trPr>
        <w:tc>
          <w:tcPr>
            <w:tcW w:w="2021" w:type="dxa"/>
            <w:vMerge/>
            <w:tcBorders>
              <w:top w:val="single" w:sz="0" w:space="0" w:color="000000" w:themeColor="text1"/>
              <w:left w:val="single" w:sz="0" w:space="0" w:color="000000" w:themeColor="text1"/>
              <w:bottom w:val="single" w:sz="0" w:space="0" w:color="000000" w:themeColor="text1"/>
              <w:right w:val="single" w:sz="4" w:space="0" w:color="auto"/>
            </w:tcBorders>
            <w:vAlign w:val="center"/>
          </w:tcPr>
          <w:p w14:paraId="73E23535" w14:textId="77777777" w:rsidR="007F769C" w:rsidRDefault="007F769C"/>
        </w:tc>
        <w:tc>
          <w:tcPr>
            <w:tcW w:w="18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F008B5C" w14:textId="580DF1CD"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N/A</w:t>
            </w:r>
          </w:p>
        </w:tc>
        <w:tc>
          <w:tcPr>
            <w:tcW w:w="3051" w:type="dxa"/>
            <w:tcBorders>
              <w:top w:val="single" w:sz="4" w:space="0" w:color="000000" w:themeColor="text1"/>
              <w:left w:val="single" w:sz="4" w:space="0" w:color="auto"/>
              <w:bottom w:val="single" w:sz="8" w:space="0" w:color="000000" w:themeColor="text1"/>
              <w:right w:val="single" w:sz="4" w:space="0" w:color="000000" w:themeColor="text1"/>
            </w:tcBorders>
            <w:tcMar>
              <w:top w:w="15" w:type="dxa"/>
              <w:left w:w="15" w:type="dxa"/>
              <w:right w:w="15" w:type="dxa"/>
            </w:tcMar>
            <w:vAlign w:val="center"/>
          </w:tcPr>
          <w:p w14:paraId="2919FA82" w14:textId="732A35BD" w:rsidR="2FC1AB7B" w:rsidRDefault="008B6F6B" w:rsidP="2FC1AB7B">
            <w:pPr>
              <w:spacing w:after="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E</w:t>
            </w:r>
            <w:r w:rsidR="2FC1AB7B" w:rsidRPr="2FC1AB7B">
              <w:rPr>
                <w:rFonts w:asciiTheme="minorHAnsi" w:eastAsiaTheme="minorEastAsia" w:hAnsiTheme="minorHAnsi" w:cstheme="minorBidi"/>
                <w:color w:val="000000" w:themeColor="text1"/>
              </w:rPr>
              <w:t>xpedited licensing review for OT per hour</w:t>
            </w:r>
          </w:p>
        </w:tc>
        <w:tc>
          <w:tcPr>
            <w:tcW w:w="1238" w:type="dxa"/>
            <w:tcBorders>
              <w:top w:val="single" w:sz="4" w:space="0" w:color="000000" w:themeColor="text1"/>
              <w:left w:val="single" w:sz="4" w:space="0" w:color="000000" w:themeColor="text1"/>
              <w:bottom w:val="single" w:sz="8" w:space="0" w:color="000000" w:themeColor="text1"/>
              <w:right w:val="single" w:sz="4" w:space="0" w:color="000000" w:themeColor="text1"/>
            </w:tcBorders>
            <w:tcMar>
              <w:top w:w="15" w:type="dxa"/>
              <w:left w:w="15" w:type="dxa"/>
              <w:right w:w="15" w:type="dxa"/>
            </w:tcMar>
            <w:vAlign w:val="bottom"/>
          </w:tcPr>
          <w:p w14:paraId="38BEC077" w14:textId="22D93CE1" w:rsidR="2FC1AB7B" w:rsidRDefault="2FC1AB7B" w:rsidP="2FC1AB7B">
            <w:pPr>
              <w:spacing w:after="0"/>
              <w:rPr>
                <w:rFonts w:asciiTheme="minorHAnsi" w:eastAsiaTheme="minorEastAsia" w:hAnsiTheme="minorHAnsi" w:cstheme="minorBidi"/>
              </w:rPr>
            </w:pPr>
            <w:r w:rsidRPr="2FC1AB7B">
              <w:rPr>
                <w:rFonts w:asciiTheme="minorHAnsi" w:eastAsiaTheme="minorEastAsia" w:hAnsiTheme="minorHAnsi" w:cstheme="minorBidi"/>
              </w:rPr>
              <w:t xml:space="preserve">$248 </w:t>
            </w:r>
          </w:p>
        </w:tc>
        <w:tc>
          <w:tcPr>
            <w:tcW w:w="1239" w:type="dxa"/>
            <w:tcBorders>
              <w:top w:val="single" w:sz="4"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22C493AE" w14:textId="5E333C1A" w:rsidR="2FC1AB7B" w:rsidRDefault="2FC1AB7B" w:rsidP="2FC1AB7B">
            <w:pPr>
              <w:spacing w:after="0"/>
              <w:rPr>
                <w:rFonts w:asciiTheme="minorHAnsi" w:eastAsiaTheme="minorEastAsia" w:hAnsiTheme="minorHAnsi" w:cstheme="minorBidi"/>
                <w:color w:val="000000" w:themeColor="text1"/>
              </w:rPr>
            </w:pPr>
            <w:r w:rsidRPr="2FC1AB7B">
              <w:rPr>
                <w:rFonts w:asciiTheme="minorHAnsi" w:eastAsiaTheme="minorEastAsia" w:hAnsiTheme="minorHAnsi" w:cstheme="minorBidi"/>
                <w:color w:val="000000" w:themeColor="text1"/>
              </w:rPr>
              <w:t xml:space="preserve"> $295</w:t>
            </w:r>
          </w:p>
        </w:tc>
      </w:tr>
    </w:tbl>
    <w:p w14:paraId="29ABD2CF" w14:textId="151D3849" w:rsidR="00A877B8" w:rsidRPr="00641134" w:rsidRDefault="00A877B8" w:rsidP="00641134">
      <w:pPr>
        <w:spacing w:after="0"/>
        <w:rPr>
          <w:sz w:val="22"/>
          <w:szCs w:val="22"/>
        </w:rPr>
      </w:pPr>
    </w:p>
    <w:p w14:paraId="03258EE8" w14:textId="16A0B491" w:rsidR="000870F2" w:rsidRDefault="000870F2" w:rsidP="2FC1AB7B">
      <w:pPr>
        <w:pStyle w:val="NoSpacing"/>
        <w:rPr>
          <w:sz w:val="22"/>
          <w:szCs w:val="22"/>
        </w:rPr>
      </w:pPr>
    </w:p>
    <w:p w14:paraId="40953822" w14:textId="7C06AA24" w:rsidR="00385AB6" w:rsidRDefault="266CF310" w:rsidP="00385AB6">
      <w:pPr>
        <w:pStyle w:val="BodyText"/>
        <w:widowControl w:val="0"/>
        <w:rPr>
          <w:rStyle w:val="Hyperlink"/>
        </w:rPr>
      </w:pPr>
      <w:r>
        <w:t xml:space="preserve">This proposal allows the </w:t>
      </w:r>
      <w:r w:rsidR="42B76E67">
        <w:t>D</w:t>
      </w:r>
      <w:r w:rsidR="4DF30E4C">
        <w:t xml:space="preserve">epartment </w:t>
      </w:r>
      <w:r w:rsidR="6C4CD5E6">
        <w:t xml:space="preserve">to stabilize the fee balance at the reserve rate. </w:t>
      </w:r>
      <w:r w:rsidR="6C4CD5E6" w:rsidRPr="26611CF0">
        <w:rPr>
          <w:rFonts w:eastAsia="Calibri"/>
          <w:color w:val="000000" w:themeColor="text1"/>
        </w:rPr>
        <w:t xml:space="preserve">The </w:t>
      </w:r>
      <w:r w:rsidR="42B76E67" w:rsidRPr="2FC1AB7B">
        <w:rPr>
          <w:rFonts w:eastAsia="Calibri"/>
          <w:color w:val="000000" w:themeColor="text1"/>
        </w:rPr>
        <w:t>D</w:t>
      </w:r>
      <w:r w:rsidR="3F7F33B9" w:rsidRPr="2FC1AB7B">
        <w:rPr>
          <w:rFonts w:eastAsia="Calibri"/>
          <w:color w:val="000000" w:themeColor="text1"/>
        </w:rPr>
        <w:t>epartment’s</w:t>
      </w:r>
      <w:r w:rsidR="6C4CD5E6" w:rsidRPr="26611CF0">
        <w:rPr>
          <w:rFonts w:eastAsia="Calibri"/>
          <w:color w:val="000000" w:themeColor="text1"/>
        </w:rPr>
        <w:t xml:space="preserve"> fee review program routinely evaluates the fee schedule during fee analysis. However, two current circumstances present challenges to completing this evaluation. Recent staffing and recruitment challenges resulted in a significant delay in regulatory requirements. To prioritize onboarding of new staff and overdue regulatory requirements, staff do not have the capacity or expertise to participate in an in-depth study to evaluate the fee schedule. The second challenge is the lack of program data. Program data is often needed to evaluate cost driving services such as onsite inspection time or license generation activities. The </w:t>
      </w:r>
      <w:r w:rsidR="008B6F6B">
        <w:rPr>
          <w:rFonts w:eastAsia="Calibri"/>
          <w:color w:val="000000" w:themeColor="text1"/>
        </w:rPr>
        <w:t>Radioactive Materials</w:t>
      </w:r>
      <w:r w:rsidR="008B6F6B" w:rsidRPr="4E3FC84D">
        <w:rPr>
          <w:rFonts w:eastAsia="Calibri"/>
          <w:color w:val="000000" w:themeColor="text1"/>
        </w:rPr>
        <w:t xml:space="preserve"> </w:t>
      </w:r>
      <w:r w:rsidR="6C4CD5E6" w:rsidRPr="26611CF0">
        <w:rPr>
          <w:rFonts w:eastAsia="Calibri"/>
          <w:color w:val="000000" w:themeColor="text1"/>
        </w:rPr>
        <w:t>program anticipates both challenges to be resolved before our next re-occurring fee analysis. For efficiency and accuracy</w:t>
      </w:r>
      <w:r w:rsidR="009C163A">
        <w:rPr>
          <w:rFonts w:eastAsia="Calibri"/>
          <w:color w:val="000000" w:themeColor="text1"/>
        </w:rPr>
        <w:t xml:space="preserve">, the Department </w:t>
      </w:r>
      <w:r w:rsidR="6C4CD5E6" w:rsidRPr="26611CF0">
        <w:rPr>
          <w:rFonts w:eastAsia="Calibri"/>
          <w:color w:val="000000" w:themeColor="text1"/>
        </w:rPr>
        <w:t xml:space="preserve">will review the fee schedule for changes during the next fee analysis. For the current fee adjustment, the </w:t>
      </w:r>
      <w:r w:rsidR="42B76E67" w:rsidRPr="2FC1AB7B">
        <w:rPr>
          <w:rFonts w:eastAsia="Calibri"/>
          <w:color w:val="000000" w:themeColor="text1"/>
        </w:rPr>
        <w:t>D</w:t>
      </w:r>
      <w:r w:rsidR="3F7F33B9" w:rsidRPr="2FC1AB7B">
        <w:rPr>
          <w:rFonts w:eastAsia="Calibri"/>
          <w:color w:val="000000" w:themeColor="text1"/>
        </w:rPr>
        <w:t>epartment</w:t>
      </w:r>
      <w:r w:rsidR="6C4CD5E6" w:rsidRPr="26611CF0">
        <w:rPr>
          <w:rFonts w:eastAsia="Calibri"/>
          <w:color w:val="000000" w:themeColor="text1"/>
        </w:rPr>
        <w:t xml:space="preserve"> intends to propose an across-the-board increase to bring revenue into alignment with </w:t>
      </w:r>
      <w:r w:rsidR="3970D7D5" w:rsidRPr="26611CF0">
        <w:rPr>
          <w:rFonts w:eastAsia="Calibri"/>
          <w:color w:val="000000" w:themeColor="text1"/>
        </w:rPr>
        <w:t>the cost</w:t>
      </w:r>
      <w:r w:rsidR="0CD4AED8" w:rsidRPr="26611CF0">
        <w:rPr>
          <w:rFonts w:eastAsia="Calibri"/>
          <w:color w:val="000000" w:themeColor="text1"/>
        </w:rPr>
        <w:t>s</w:t>
      </w:r>
      <w:r w:rsidR="3970D7D5" w:rsidRPr="26611CF0">
        <w:rPr>
          <w:rFonts w:eastAsia="Calibri"/>
          <w:color w:val="000000" w:themeColor="text1"/>
        </w:rPr>
        <w:t xml:space="preserve"> of </w:t>
      </w:r>
      <w:r w:rsidR="0CD4AED8" w:rsidRPr="26611CF0">
        <w:rPr>
          <w:rFonts w:eastAsia="Calibri"/>
          <w:color w:val="000000" w:themeColor="text1"/>
        </w:rPr>
        <w:t xml:space="preserve">the </w:t>
      </w:r>
      <w:r w:rsidR="008B6F6B">
        <w:rPr>
          <w:rFonts w:eastAsia="Calibri"/>
          <w:color w:val="000000" w:themeColor="text1"/>
        </w:rPr>
        <w:t>cost-of-living</w:t>
      </w:r>
      <w:r w:rsidR="3970D7D5" w:rsidRPr="26611CF0">
        <w:rPr>
          <w:rFonts w:eastAsia="Calibri"/>
          <w:color w:val="000000" w:themeColor="text1"/>
        </w:rPr>
        <w:t xml:space="preserve"> increases and the </w:t>
      </w:r>
      <w:r w:rsidR="009C163A">
        <w:rPr>
          <w:rFonts w:eastAsia="Calibri"/>
          <w:color w:val="000000" w:themeColor="text1"/>
        </w:rPr>
        <w:t>one</w:t>
      </w:r>
      <w:r w:rsidR="009C163A" w:rsidRPr="26611CF0">
        <w:rPr>
          <w:rFonts w:eastAsia="Calibri"/>
          <w:color w:val="000000" w:themeColor="text1"/>
        </w:rPr>
        <w:t xml:space="preserve"> </w:t>
      </w:r>
      <w:r w:rsidR="3970D7D5" w:rsidRPr="26611CF0">
        <w:rPr>
          <w:rFonts w:eastAsia="Calibri"/>
          <w:color w:val="000000" w:themeColor="text1"/>
        </w:rPr>
        <w:t>additional FTE</w:t>
      </w:r>
      <w:r w:rsidR="6C4CD5E6" w:rsidRPr="26611CF0">
        <w:rPr>
          <w:rFonts w:eastAsia="Calibri"/>
          <w:color w:val="000000" w:themeColor="text1"/>
        </w:rPr>
        <w:t xml:space="preserve">.   </w:t>
      </w:r>
    </w:p>
    <w:p w14:paraId="69435AB7" w14:textId="4A9BAD9C" w:rsidR="00FF753A" w:rsidRDefault="00657BDB" w:rsidP="0072748C">
      <w:pPr>
        <w:mirrorIndents/>
        <w:rPr>
          <w:sz w:val="22"/>
          <w:szCs w:val="22"/>
        </w:rPr>
      </w:pPr>
      <w:r>
        <w:rPr>
          <w:sz w:val="22"/>
          <w:szCs w:val="22"/>
        </w:rPr>
        <w:t>The chart below shows actual and projected revenue and expenditures for current and proposed fees from FY 2019 through FY 2031</w:t>
      </w:r>
      <w:r w:rsidR="00045A64">
        <w:rPr>
          <w:sz w:val="22"/>
          <w:szCs w:val="22"/>
        </w:rPr>
        <w:t>.</w:t>
      </w:r>
      <w:r w:rsidR="00045A64" w:rsidRPr="00045A64">
        <w:rPr>
          <w:sz w:val="22"/>
          <w:szCs w:val="22"/>
        </w:rPr>
        <w:t xml:space="preserve"> </w:t>
      </w:r>
    </w:p>
    <w:p w14:paraId="41B790C0" w14:textId="67FB555E" w:rsidR="00131EC3" w:rsidRPr="008C181A" w:rsidRDefault="00186D58" w:rsidP="0072748C">
      <w:pPr>
        <w:mirrorIndents/>
        <w:rPr>
          <w:vanish/>
          <w:sz w:val="22"/>
          <w:szCs w:val="22"/>
          <w:specVanish/>
        </w:rPr>
      </w:pPr>
      <w:r w:rsidRPr="00186D58">
        <w:rPr>
          <w:noProof/>
          <w:sz w:val="22"/>
          <w:szCs w:val="22"/>
        </w:rPr>
        <w:drawing>
          <wp:inline distT="0" distB="0" distL="0" distR="0" wp14:anchorId="64EF0779" wp14:editId="15496DD8">
            <wp:extent cx="5943600" cy="2187683"/>
            <wp:effectExtent l="0" t="0" r="0" b="3175"/>
            <wp:docPr id="2046273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273560" name="Picture 1"/>
                    <pic:cNvPicPr/>
                  </pic:nvPicPr>
                  <pic:blipFill>
                    <a:blip r:embed="rId20">
                      <a:extLst>
                        <a:ext uri="{28A0092B-C50C-407E-A947-70E740481C1C}">
                          <a14:useLocalDpi xmlns:a14="http://schemas.microsoft.com/office/drawing/2010/main" val="0"/>
                        </a:ext>
                      </a:extLst>
                    </a:blip>
                    <a:stretch>
                      <a:fillRect/>
                    </a:stretch>
                  </pic:blipFill>
                  <pic:spPr>
                    <a:xfrm>
                      <a:off x="0" y="0"/>
                      <a:ext cx="5943600" cy="2187683"/>
                    </a:xfrm>
                    <a:prstGeom prst="rect">
                      <a:avLst/>
                    </a:prstGeom>
                  </pic:spPr>
                </pic:pic>
              </a:graphicData>
            </a:graphic>
          </wp:inline>
        </w:drawing>
      </w:r>
    </w:p>
    <w:p w14:paraId="6345B19E" w14:textId="6613B86A" w:rsidR="00092C86" w:rsidRDefault="008C181A" w:rsidP="008B6F6B">
      <w:pPr>
        <w:mirrorIndents/>
        <w:rPr>
          <w:sz w:val="22"/>
          <w:szCs w:val="22"/>
        </w:rPr>
      </w:pPr>
      <w:r>
        <w:rPr>
          <w:sz w:val="22"/>
          <w:szCs w:val="22"/>
        </w:rPr>
        <w:t xml:space="preserve"> </w:t>
      </w:r>
      <w:r w:rsidR="00800336" w:rsidRPr="006D3B86">
        <w:rPr>
          <w:sz w:val="22"/>
          <w:szCs w:val="22"/>
        </w:rPr>
        <w:t xml:space="preserve">The </w:t>
      </w:r>
      <w:r w:rsidR="42B76E67" w:rsidRPr="2FC1AB7B">
        <w:rPr>
          <w:sz w:val="22"/>
          <w:szCs w:val="22"/>
        </w:rPr>
        <w:t>D</w:t>
      </w:r>
      <w:r w:rsidR="512F0CCB" w:rsidRPr="2FC1AB7B">
        <w:rPr>
          <w:sz w:val="22"/>
          <w:szCs w:val="22"/>
        </w:rPr>
        <w:t>epartment</w:t>
      </w:r>
      <w:r w:rsidR="00800336" w:rsidRPr="006D3B86">
        <w:rPr>
          <w:sz w:val="22"/>
          <w:szCs w:val="22"/>
        </w:rPr>
        <w:t xml:space="preserve"> will continue to monitor the financial health of the </w:t>
      </w:r>
      <w:r w:rsidR="00800336">
        <w:rPr>
          <w:sz w:val="22"/>
          <w:szCs w:val="22"/>
        </w:rPr>
        <w:t>Radioactive Materials</w:t>
      </w:r>
      <w:r w:rsidR="00800336" w:rsidRPr="006D3B86">
        <w:rPr>
          <w:sz w:val="22"/>
          <w:szCs w:val="22"/>
        </w:rPr>
        <w:t xml:space="preserve"> program over a six-year outlook and propose fee adjustments as needed to comply with statutory requirements.</w:t>
      </w:r>
      <w:r w:rsidR="00092C86">
        <w:rPr>
          <w:sz w:val="22"/>
          <w:szCs w:val="22"/>
        </w:rPr>
        <w:br w:type="page"/>
      </w:r>
    </w:p>
    <w:p w14:paraId="600269D9" w14:textId="7C44C722" w:rsidR="00092C86" w:rsidRDefault="1BF142A9" w:rsidP="00B60AAD">
      <w:pPr>
        <w:pStyle w:val="Heading1"/>
        <w:spacing w:before="0"/>
      </w:pPr>
      <w:bookmarkStart w:id="3" w:name="_Toc202861536"/>
      <w:r>
        <w:lastRenderedPageBreak/>
        <w:t>WAC 246-</w:t>
      </w:r>
      <w:r w:rsidR="002E6723">
        <w:t>254-130</w:t>
      </w:r>
      <w:r w:rsidR="00061E3D">
        <w:t>, 140 &amp; 150</w:t>
      </w:r>
      <w:r>
        <w:t xml:space="preserve">, </w:t>
      </w:r>
      <w:r w:rsidR="00061E3D">
        <w:t xml:space="preserve">Radioactive Waste </w:t>
      </w:r>
      <w:r w:rsidR="000E26E4">
        <w:t xml:space="preserve">Site </w:t>
      </w:r>
      <w:r w:rsidR="00061E3D">
        <w:t>Surv</w:t>
      </w:r>
      <w:r w:rsidR="000E26E4">
        <w:t>eillance Program</w:t>
      </w:r>
      <w:bookmarkEnd w:id="3"/>
    </w:p>
    <w:p w14:paraId="245C6691" w14:textId="77777777" w:rsidR="00B60AAD" w:rsidRPr="00B60AAD" w:rsidRDefault="00B60AAD" w:rsidP="00B60AAD"/>
    <w:p w14:paraId="57A3A683" w14:textId="77777777" w:rsidR="00092C86" w:rsidRPr="008B1629" w:rsidRDefault="00092C86" w:rsidP="008B1629">
      <w:pPr>
        <w:spacing w:after="0"/>
        <w:rPr>
          <w:b/>
          <w:bCs/>
          <w:sz w:val="24"/>
          <w:szCs w:val="24"/>
        </w:rPr>
      </w:pPr>
      <w:r w:rsidRPr="008B1629">
        <w:rPr>
          <w:b/>
          <w:bCs/>
          <w:sz w:val="24"/>
          <w:szCs w:val="24"/>
        </w:rPr>
        <w:t>Overview</w:t>
      </w:r>
    </w:p>
    <w:p w14:paraId="7D041A35" w14:textId="2D2C1F8F" w:rsidR="008B1A87" w:rsidRDefault="00092C86" w:rsidP="008B1A87">
      <w:pPr>
        <w:rPr>
          <w:sz w:val="22"/>
          <w:szCs w:val="22"/>
        </w:rPr>
      </w:pPr>
      <w:r w:rsidRPr="1D296605">
        <w:rPr>
          <w:sz w:val="22"/>
          <w:szCs w:val="22"/>
        </w:rPr>
        <w:t>The Department of Health (</w:t>
      </w:r>
      <w:r w:rsidR="1ABC4871">
        <w:rPr>
          <w:sz w:val="22"/>
          <w:szCs w:val="22"/>
        </w:rPr>
        <w:t>D</w:t>
      </w:r>
      <w:r w:rsidR="6BFD17C6" w:rsidRPr="1D296605">
        <w:rPr>
          <w:sz w:val="22"/>
          <w:szCs w:val="22"/>
        </w:rPr>
        <w:t>epartment</w:t>
      </w:r>
      <w:r w:rsidRPr="1D296605">
        <w:rPr>
          <w:sz w:val="22"/>
          <w:szCs w:val="22"/>
        </w:rPr>
        <w:t xml:space="preserve">) works to protect and improve the health of all people in Washington State. </w:t>
      </w:r>
      <w:r w:rsidR="000870F2" w:rsidRPr="00591899">
        <w:rPr>
          <w:sz w:val="22"/>
          <w:szCs w:val="22"/>
        </w:rPr>
        <w:t xml:space="preserve">The Office of Radiation Protection provides X-ray registration and inspection, radioactive materials licensing and inspection, radioactive waste management, environmental radiation monitoring, radioactive air emissions licensing and inspection, Hanford Emergency Response and Planning, and implements U.S. Nuclear Regulatory Commission program requirements, including oversight of the state's only nuclear power generating plant, Columbia Generating Station. </w:t>
      </w:r>
      <w:hyperlink r:id="rId21">
        <w:r w:rsidR="000870F2" w:rsidRPr="00591899">
          <w:rPr>
            <w:rStyle w:val="Hyperlink"/>
            <w:sz w:val="22"/>
            <w:szCs w:val="22"/>
          </w:rPr>
          <w:t xml:space="preserve">Chapter 70A.388 RCW, Nuclear Energy and Radiation, </w:t>
        </w:r>
      </w:hyperlink>
      <w:r w:rsidR="000870F2" w:rsidRPr="00297FF3">
        <w:rPr>
          <w:sz w:val="22"/>
          <w:szCs w:val="22"/>
        </w:rPr>
        <w:t>designates t</w:t>
      </w:r>
      <w:r w:rsidR="000870F2" w:rsidRPr="00591899">
        <w:rPr>
          <w:sz w:val="22"/>
          <w:szCs w:val="22"/>
        </w:rPr>
        <w:t xml:space="preserve">he Department as the state radiation control agency and is responsible for overseeing the </w:t>
      </w:r>
      <w:r w:rsidR="008166F1">
        <w:rPr>
          <w:sz w:val="22"/>
          <w:szCs w:val="22"/>
        </w:rPr>
        <w:t>Radioactive Waste</w:t>
      </w:r>
      <w:r w:rsidRPr="1D296605">
        <w:rPr>
          <w:sz w:val="22"/>
          <w:szCs w:val="22"/>
        </w:rPr>
        <w:t xml:space="preserve"> </w:t>
      </w:r>
      <w:r w:rsidR="00D4265E">
        <w:rPr>
          <w:sz w:val="22"/>
          <w:szCs w:val="22"/>
        </w:rPr>
        <w:t xml:space="preserve">Site Surveillance </w:t>
      </w:r>
      <w:r w:rsidRPr="1D296605">
        <w:rPr>
          <w:sz w:val="22"/>
          <w:szCs w:val="22"/>
        </w:rPr>
        <w:t>program</w:t>
      </w:r>
      <w:r w:rsidR="00DE617D">
        <w:rPr>
          <w:sz w:val="22"/>
          <w:szCs w:val="22"/>
        </w:rPr>
        <w:t>.</w:t>
      </w:r>
      <w:r w:rsidRPr="1D296605" w:rsidDel="00DE617D">
        <w:rPr>
          <w:sz w:val="22"/>
          <w:szCs w:val="22"/>
        </w:rPr>
        <w:t xml:space="preserve"> </w:t>
      </w:r>
    </w:p>
    <w:p w14:paraId="5582A547" w14:textId="0FD31E80" w:rsidR="008B1A87" w:rsidRPr="00C90995" w:rsidRDefault="008B1A87" w:rsidP="2FC1AB7B">
      <w:pPr>
        <w:rPr>
          <w:sz w:val="22"/>
          <w:szCs w:val="22"/>
        </w:rPr>
      </w:pPr>
      <w:r w:rsidRPr="780AF81B">
        <w:rPr>
          <w:sz w:val="22"/>
          <w:szCs w:val="22"/>
        </w:rPr>
        <w:t xml:space="preserve">The </w:t>
      </w:r>
      <w:r>
        <w:rPr>
          <w:sz w:val="22"/>
          <w:szCs w:val="22"/>
        </w:rPr>
        <w:t>D</w:t>
      </w:r>
      <w:r w:rsidRPr="780AF81B">
        <w:rPr>
          <w:sz w:val="22"/>
          <w:szCs w:val="22"/>
        </w:rPr>
        <w:t xml:space="preserve">epartment </w:t>
      </w:r>
      <w:r>
        <w:rPr>
          <w:sz w:val="22"/>
          <w:szCs w:val="22"/>
        </w:rPr>
        <w:t xml:space="preserve">regulates </w:t>
      </w:r>
      <w:r w:rsidRPr="0043103E">
        <w:rPr>
          <w:sz w:val="22"/>
          <w:szCs w:val="22"/>
        </w:rPr>
        <w:t>radioactive waste site</w:t>
      </w:r>
      <w:r>
        <w:rPr>
          <w:sz w:val="22"/>
          <w:szCs w:val="22"/>
        </w:rPr>
        <w:t>s</w:t>
      </w:r>
      <w:r w:rsidRPr="0043103E">
        <w:rPr>
          <w:sz w:val="22"/>
          <w:szCs w:val="22"/>
        </w:rPr>
        <w:t xml:space="preserve"> </w:t>
      </w:r>
      <w:r>
        <w:rPr>
          <w:sz w:val="22"/>
          <w:szCs w:val="22"/>
        </w:rPr>
        <w:t xml:space="preserve">and collects a </w:t>
      </w:r>
      <w:r w:rsidRPr="0043103E">
        <w:rPr>
          <w:sz w:val="22"/>
          <w:szCs w:val="22"/>
        </w:rPr>
        <w:t xml:space="preserve">surveillance fee </w:t>
      </w:r>
      <w:r>
        <w:rPr>
          <w:sz w:val="22"/>
          <w:szCs w:val="22"/>
        </w:rPr>
        <w:t>from</w:t>
      </w:r>
      <w:r w:rsidRPr="0043103E">
        <w:rPr>
          <w:sz w:val="22"/>
          <w:szCs w:val="22"/>
        </w:rPr>
        <w:t xml:space="preserve"> generators and brokers of LLRW</w:t>
      </w:r>
      <w:r>
        <w:rPr>
          <w:sz w:val="22"/>
          <w:szCs w:val="22"/>
        </w:rPr>
        <w:t xml:space="preserve"> </w:t>
      </w:r>
      <w:r w:rsidRPr="00BB7580">
        <w:rPr>
          <w:sz w:val="22"/>
          <w:szCs w:val="22"/>
        </w:rPr>
        <w:t>(low-level radioactive waste)</w:t>
      </w:r>
      <w:r w:rsidRPr="0043103E">
        <w:rPr>
          <w:sz w:val="22"/>
          <w:szCs w:val="22"/>
        </w:rPr>
        <w:t xml:space="preserve"> and NARM</w:t>
      </w:r>
      <w:r>
        <w:rPr>
          <w:sz w:val="22"/>
          <w:szCs w:val="22"/>
        </w:rPr>
        <w:t xml:space="preserve"> </w:t>
      </w:r>
      <w:r w:rsidRPr="00BB7580">
        <w:rPr>
          <w:sz w:val="22"/>
          <w:szCs w:val="22"/>
        </w:rPr>
        <w:t>(naturally occurring and accelerator produced radioactive material)</w:t>
      </w:r>
      <w:r>
        <w:rPr>
          <w:sz w:val="22"/>
          <w:szCs w:val="22"/>
        </w:rPr>
        <w:t>.</w:t>
      </w:r>
    </w:p>
    <w:p w14:paraId="02676499" w14:textId="066043F3" w:rsidR="00DF46C5" w:rsidRPr="00297FF3" w:rsidRDefault="00DF46C5" w:rsidP="00DF46C5">
      <w:pPr>
        <w:rPr>
          <w:color w:val="000000" w:themeColor="text1"/>
          <w:sz w:val="22"/>
          <w:szCs w:val="22"/>
          <w:highlight w:val="yellow"/>
        </w:rPr>
      </w:pPr>
      <w:hyperlink r:id="rId22">
        <w:r w:rsidRPr="00591899">
          <w:rPr>
            <w:rStyle w:val="Hyperlink"/>
            <w:sz w:val="22"/>
            <w:szCs w:val="22"/>
          </w:rPr>
          <w:t>RCW 43.70.250</w:t>
        </w:r>
      </w:hyperlink>
      <w:r w:rsidRPr="00591899">
        <w:rPr>
          <w:sz w:val="22"/>
          <w:szCs w:val="22"/>
        </w:rPr>
        <w:t xml:space="preserve"> authorizes the Secretary</w:t>
      </w:r>
      <w:r>
        <w:rPr>
          <w:sz w:val="22"/>
          <w:szCs w:val="22"/>
        </w:rPr>
        <w:t xml:space="preserve"> of Health</w:t>
      </w:r>
      <w:r w:rsidRPr="00591899">
        <w:rPr>
          <w:sz w:val="22"/>
          <w:szCs w:val="22"/>
        </w:rPr>
        <w:t xml:space="preserve"> to establish various fees associated with licensing and regulation of professions, occupations, or businesses. These fees must be set at a level that covers the costs of administering each program or license. </w:t>
      </w:r>
    </w:p>
    <w:p w14:paraId="10A697FD" w14:textId="66FA1492" w:rsidR="00377CDA" w:rsidRDefault="0D8DE300" w:rsidP="00377CDA">
      <w:pPr>
        <w:mirrorIndents/>
        <w:rPr>
          <w:sz w:val="22"/>
          <w:szCs w:val="22"/>
        </w:rPr>
      </w:pPr>
      <w:r w:rsidRPr="26611CF0">
        <w:rPr>
          <w:sz w:val="22"/>
          <w:szCs w:val="22"/>
        </w:rPr>
        <w:t xml:space="preserve">The </w:t>
      </w:r>
      <w:r w:rsidR="7A3F7CD6" w:rsidRPr="2FC1AB7B">
        <w:rPr>
          <w:sz w:val="22"/>
          <w:szCs w:val="22"/>
        </w:rPr>
        <w:t>D</w:t>
      </w:r>
      <w:r w:rsidR="5B127517" w:rsidRPr="2FC1AB7B">
        <w:rPr>
          <w:sz w:val="22"/>
          <w:szCs w:val="22"/>
        </w:rPr>
        <w:t>epartment</w:t>
      </w:r>
      <w:r w:rsidRPr="26611CF0">
        <w:rPr>
          <w:sz w:val="22"/>
          <w:szCs w:val="22"/>
        </w:rPr>
        <w:t xml:space="preserve"> has completed an initial assessment and determined the current fees are not generating sufficient revenue to cover the operating costs over the biennium. Considering the program’s financial forecast, the </w:t>
      </w:r>
      <w:r w:rsidR="1ABC4871" w:rsidRPr="2FC1AB7B">
        <w:rPr>
          <w:sz w:val="22"/>
          <w:szCs w:val="22"/>
        </w:rPr>
        <w:t>D</w:t>
      </w:r>
      <w:r w:rsidR="5B127517" w:rsidRPr="2FC1AB7B">
        <w:rPr>
          <w:sz w:val="22"/>
          <w:szCs w:val="22"/>
        </w:rPr>
        <w:t>epartment</w:t>
      </w:r>
      <w:r w:rsidRPr="26611CF0">
        <w:rPr>
          <w:sz w:val="22"/>
          <w:szCs w:val="22"/>
        </w:rPr>
        <w:t xml:space="preserve"> recommends a fee adjustment to address existing program deficits, reductions in funding from </w:t>
      </w:r>
      <w:r w:rsidR="7C0D95E6" w:rsidRPr="26611CF0">
        <w:rPr>
          <w:sz w:val="22"/>
          <w:szCs w:val="22"/>
        </w:rPr>
        <w:t xml:space="preserve">the </w:t>
      </w:r>
      <w:r w:rsidRPr="26611CF0">
        <w:rPr>
          <w:sz w:val="22"/>
          <w:szCs w:val="22"/>
        </w:rPr>
        <w:t>General Fund State (GFS) account and cost-of-living adjustments made in the 2025-2027 state budget (ESSB 5167).</w:t>
      </w:r>
    </w:p>
    <w:p w14:paraId="7705D204" w14:textId="2AF669C1" w:rsidR="00255967" w:rsidRPr="00FF084C" w:rsidRDefault="00255967" w:rsidP="00377CDA">
      <w:pPr>
        <w:mirrorIndents/>
        <w:rPr>
          <w:rFonts w:eastAsia="Calibri"/>
          <w:sz w:val="22"/>
          <w:szCs w:val="22"/>
        </w:rPr>
      </w:pPr>
      <w:r w:rsidRPr="00591899">
        <w:rPr>
          <w:rFonts w:eastAsia="Calibri"/>
          <w:sz w:val="22"/>
          <w:szCs w:val="22"/>
        </w:rPr>
        <w:t>This document summarizes data on revenue, expenditures, financial forecast, and the changes to existing fees.</w:t>
      </w:r>
    </w:p>
    <w:p w14:paraId="75D6EFC1" w14:textId="2520303F" w:rsidR="008B1A87" w:rsidRPr="001714C6" w:rsidRDefault="008B1A87" w:rsidP="2FC1AB7B">
      <w:pPr>
        <w:pStyle w:val="NoSpacing"/>
        <w:rPr>
          <w:rFonts w:eastAsia="Calibri"/>
        </w:rPr>
      </w:pPr>
    </w:p>
    <w:p w14:paraId="51AF7E6E" w14:textId="66B75254" w:rsidR="00377CDA" w:rsidRPr="00BE2F89" w:rsidRDefault="00377CDA" w:rsidP="00BE2F89">
      <w:pPr>
        <w:spacing w:after="0"/>
        <w:rPr>
          <w:b/>
          <w:bCs/>
          <w:sz w:val="24"/>
          <w:szCs w:val="24"/>
        </w:rPr>
      </w:pPr>
      <w:r w:rsidRPr="00BE2F89">
        <w:rPr>
          <w:rFonts w:eastAsia="Calibri"/>
          <w:b/>
          <w:bCs/>
          <w:sz w:val="24"/>
          <w:szCs w:val="24"/>
        </w:rPr>
        <w:t>Current Financial Status</w:t>
      </w:r>
    </w:p>
    <w:p w14:paraId="4116B2BC" w14:textId="6D2331D8" w:rsidR="00092C86" w:rsidRPr="001714C6" w:rsidRDefault="00C43C38" w:rsidP="00C43C38">
      <w:pPr>
        <w:mirrorIndents/>
        <w:rPr>
          <w:sz w:val="22"/>
          <w:szCs w:val="22"/>
        </w:rPr>
      </w:pPr>
      <w:r w:rsidRPr="00B52C6D">
        <w:rPr>
          <w:rFonts w:eastAsia="Calibri"/>
          <w:color w:val="000000" w:themeColor="text1"/>
          <w:sz w:val="22"/>
          <w:szCs w:val="22"/>
        </w:rPr>
        <w:t>The</w:t>
      </w:r>
      <w:r w:rsidR="003F77D5">
        <w:rPr>
          <w:rFonts w:eastAsia="Calibri"/>
          <w:color w:val="000000" w:themeColor="text1"/>
          <w:sz w:val="22"/>
          <w:szCs w:val="22"/>
        </w:rPr>
        <w:t xml:space="preserve"> Department’s Radioactive Waste Site Surveillance</w:t>
      </w:r>
      <w:r w:rsidRPr="00B52C6D">
        <w:rPr>
          <w:rFonts w:eastAsia="Calibri"/>
          <w:color w:val="000000" w:themeColor="text1"/>
          <w:sz w:val="22"/>
          <w:szCs w:val="22"/>
        </w:rPr>
        <w:t xml:space="preserve"> program </w:t>
      </w:r>
      <w:r w:rsidR="53F19155" w:rsidRPr="2FC1AB7B">
        <w:rPr>
          <w:rFonts w:eastAsia="Calibri"/>
          <w:color w:val="000000" w:themeColor="text1"/>
          <w:sz w:val="22"/>
          <w:szCs w:val="22"/>
        </w:rPr>
        <w:t>currently</w:t>
      </w:r>
      <w:r w:rsidR="2EF0071F" w:rsidRPr="2FC1AB7B">
        <w:rPr>
          <w:rFonts w:eastAsia="Calibri"/>
          <w:color w:val="000000" w:themeColor="text1"/>
          <w:sz w:val="22"/>
          <w:szCs w:val="22"/>
        </w:rPr>
        <w:t xml:space="preserve"> has</w:t>
      </w:r>
      <w:r w:rsidRPr="00B52C6D">
        <w:rPr>
          <w:rFonts w:eastAsia="Calibri"/>
          <w:color w:val="000000" w:themeColor="text1"/>
          <w:sz w:val="22"/>
          <w:szCs w:val="22"/>
        </w:rPr>
        <w:t xml:space="preserve"> a fee balance of </w:t>
      </w:r>
      <w:r w:rsidR="41A36A13" w:rsidRPr="2FC1AB7B">
        <w:rPr>
          <w:rFonts w:eastAsia="Calibri"/>
          <w:color w:val="000000" w:themeColor="text1"/>
          <w:sz w:val="22"/>
          <w:szCs w:val="22"/>
        </w:rPr>
        <w:t>-</w:t>
      </w:r>
      <w:r w:rsidR="388AB511" w:rsidRPr="2FC1AB7B">
        <w:rPr>
          <w:rFonts w:eastAsia="Calibri"/>
          <w:color w:val="000000" w:themeColor="text1"/>
          <w:sz w:val="22"/>
          <w:szCs w:val="22"/>
        </w:rPr>
        <w:t>$</w:t>
      </w:r>
      <w:r w:rsidR="4A563EEC" w:rsidRPr="2FC1AB7B">
        <w:rPr>
          <w:rFonts w:eastAsia="Calibri"/>
          <w:color w:val="000000" w:themeColor="text1"/>
          <w:sz w:val="22"/>
          <w:szCs w:val="22"/>
        </w:rPr>
        <w:t>55,607</w:t>
      </w:r>
      <w:r w:rsidR="00202AD3">
        <w:rPr>
          <w:rFonts w:eastAsia="Calibri"/>
          <w:color w:val="000000" w:themeColor="text1"/>
          <w:sz w:val="22"/>
          <w:szCs w:val="22"/>
        </w:rPr>
        <w:t xml:space="preserve"> and is currently operating at a deficit</w:t>
      </w:r>
      <w:r w:rsidRPr="00B52C6D">
        <w:rPr>
          <w:rFonts w:eastAsia="Calibri"/>
          <w:color w:val="000000" w:themeColor="text1"/>
          <w:sz w:val="22"/>
          <w:szCs w:val="22"/>
        </w:rPr>
        <w:t>. The recommended fee reserve amount is $</w:t>
      </w:r>
      <w:r w:rsidR="003323C0">
        <w:rPr>
          <w:rFonts w:eastAsia="Calibri"/>
          <w:color w:val="000000" w:themeColor="text1"/>
          <w:sz w:val="22"/>
          <w:szCs w:val="22"/>
        </w:rPr>
        <w:t>171</w:t>
      </w:r>
      <w:r w:rsidRPr="00B52C6D">
        <w:rPr>
          <w:rFonts w:eastAsia="Calibri"/>
          <w:color w:val="000000" w:themeColor="text1"/>
          <w:sz w:val="22"/>
          <w:szCs w:val="22"/>
        </w:rPr>
        <w:t>,</w:t>
      </w:r>
      <w:r w:rsidR="003323C0">
        <w:rPr>
          <w:rFonts w:eastAsia="Calibri"/>
          <w:color w:val="000000" w:themeColor="text1"/>
          <w:sz w:val="22"/>
          <w:szCs w:val="22"/>
        </w:rPr>
        <w:t>013</w:t>
      </w:r>
      <w:r w:rsidRPr="00B52C6D">
        <w:rPr>
          <w:rFonts w:eastAsia="Calibri"/>
          <w:color w:val="000000" w:themeColor="text1"/>
          <w:sz w:val="22"/>
          <w:szCs w:val="22"/>
        </w:rPr>
        <w:t xml:space="preserve">. </w:t>
      </w:r>
      <w:r w:rsidR="388AB511" w:rsidRPr="2FC1AB7B">
        <w:rPr>
          <w:rFonts w:eastAsia="Calibri"/>
          <w:color w:val="000000" w:themeColor="text1"/>
          <w:sz w:val="22"/>
          <w:szCs w:val="22"/>
        </w:rPr>
        <w:t>The fee balance is</w:t>
      </w:r>
      <w:r w:rsidR="2253F725" w:rsidRPr="2FC1AB7B">
        <w:rPr>
          <w:rFonts w:eastAsia="Calibri"/>
          <w:color w:val="000000" w:themeColor="text1"/>
          <w:sz w:val="22"/>
          <w:szCs w:val="22"/>
        </w:rPr>
        <w:t xml:space="preserve"> </w:t>
      </w:r>
      <w:r w:rsidR="1184F5A7" w:rsidRPr="2FC1AB7B">
        <w:rPr>
          <w:rFonts w:eastAsia="Calibri"/>
          <w:color w:val="000000" w:themeColor="text1"/>
          <w:sz w:val="22"/>
          <w:szCs w:val="22"/>
        </w:rPr>
        <w:t>expected to continue to operate at a growing deficit if no changes occur</w:t>
      </w:r>
      <w:r w:rsidR="388AB511" w:rsidRPr="2FC1AB7B">
        <w:rPr>
          <w:rFonts w:eastAsia="Calibri"/>
          <w:color w:val="000000" w:themeColor="text1"/>
          <w:sz w:val="22"/>
          <w:szCs w:val="22"/>
        </w:rPr>
        <w:t xml:space="preserve">. </w:t>
      </w:r>
    </w:p>
    <w:p w14:paraId="7374A221" w14:textId="77777777" w:rsidR="008B1A87" w:rsidRDefault="008B1A87" w:rsidP="2FC1AB7B">
      <w:pPr>
        <w:pStyle w:val="NoSpacing"/>
      </w:pPr>
    </w:p>
    <w:p w14:paraId="1ED3ABF1" w14:textId="3719CA5A" w:rsidR="00092C86" w:rsidRPr="008B1629" w:rsidRDefault="00092C86" w:rsidP="008B1629">
      <w:pPr>
        <w:spacing w:after="0"/>
        <w:rPr>
          <w:b/>
          <w:bCs/>
          <w:sz w:val="24"/>
          <w:szCs w:val="24"/>
        </w:rPr>
      </w:pPr>
      <w:r w:rsidRPr="008B1629">
        <w:rPr>
          <w:b/>
          <w:bCs/>
          <w:sz w:val="24"/>
          <w:szCs w:val="24"/>
        </w:rPr>
        <w:t>Revenue</w:t>
      </w:r>
    </w:p>
    <w:p w14:paraId="4CC9857A" w14:textId="53A50B93" w:rsidR="00092C86" w:rsidRPr="00AA4AD8" w:rsidRDefault="00092C86" w:rsidP="008B1629">
      <w:pPr>
        <w:spacing w:after="0"/>
        <w:rPr>
          <w:b/>
          <w:bCs/>
          <w:sz w:val="22"/>
          <w:szCs w:val="22"/>
        </w:rPr>
      </w:pPr>
      <w:r w:rsidRPr="00AA4AD8">
        <w:rPr>
          <w:b/>
          <w:bCs/>
          <w:sz w:val="22"/>
          <w:szCs w:val="22"/>
        </w:rPr>
        <w:t>Fees</w:t>
      </w:r>
    </w:p>
    <w:p w14:paraId="6A1278ED" w14:textId="16A0FA35" w:rsidR="00092C86" w:rsidRDefault="0086221D" w:rsidP="00092C86">
      <w:pPr>
        <w:mirrorIndents/>
        <w:rPr>
          <w:sz w:val="22"/>
          <w:szCs w:val="22"/>
        </w:rPr>
      </w:pPr>
      <w:r>
        <w:rPr>
          <w:sz w:val="22"/>
          <w:szCs w:val="22"/>
        </w:rPr>
        <w:t>Site surv</w:t>
      </w:r>
      <w:r w:rsidR="0043756E">
        <w:rPr>
          <w:sz w:val="22"/>
          <w:szCs w:val="22"/>
        </w:rPr>
        <w:t xml:space="preserve">eillance fees are an </w:t>
      </w:r>
      <w:r w:rsidR="0043756E" w:rsidRPr="0043756E">
        <w:rPr>
          <w:sz w:val="22"/>
          <w:szCs w:val="22"/>
        </w:rPr>
        <w:t>added charge on each cubi</w:t>
      </w:r>
      <w:r w:rsidR="007524A1">
        <w:rPr>
          <w:sz w:val="22"/>
          <w:szCs w:val="22"/>
        </w:rPr>
        <w:t>c</w:t>
      </w:r>
      <w:r w:rsidR="0043756E" w:rsidRPr="0043756E">
        <w:rPr>
          <w:sz w:val="22"/>
          <w:szCs w:val="22"/>
        </w:rPr>
        <w:t xml:space="preserve"> f</w:t>
      </w:r>
      <w:r w:rsidR="007524A1">
        <w:rPr>
          <w:sz w:val="22"/>
          <w:szCs w:val="22"/>
        </w:rPr>
        <w:t>oo</w:t>
      </w:r>
      <w:r w:rsidR="0043756E" w:rsidRPr="0043756E">
        <w:rPr>
          <w:sz w:val="22"/>
          <w:szCs w:val="22"/>
        </w:rPr>
        <w:t>t at the disposal site</w:t>
      </w:r>
      <w:r w:rsidR="0043756E">
        <w:rPr>
          <w:sz w:val="22"/>
          <w:szCs w:val="22"/>
        </w:rPr>
        <w:t>. The</w:t>
      </w:r>
      <w:r w:rsidR="0043756E" w:rsidRPr="0043756E">
        <w:rPr>
          <w:sz w:val="22"/>
          <w:szCs w:val="22"/>
        </w:rPr>
        <w:t xml:space="preserve"> site operator collects the </w:t>
      </w:r>
      <w:r w:rsidR="0043756E" w:rsidRPr="0043756E" w:rsidDel="008B1A87">
        <w:rPr>
          <w:sz w:val="22"/>
          <w:szCs w:val="22"/>
        </w:rPr>
        <w:t>fee</w:t>
      </w:r>
      <w:r w:rsidR="008B1A87" w:rsidRPr="0043756E">
        <w:rPr>
          <w:sz w:val="22"/>
          <w:szCs w:val="22"/>
        </w:rPr>
        <w:t>,</w:t>
      </w:r>
      <w:r w:rsidR="0043756E">
        <w:rPr>
          <w:sz w:val="22"/>
          <w:szCs w:val="22"/>
        </w:rPr>
        <w:t xml:space="preserve"> and the </w:t>
      </w:r>
      <w:r w:rsidR="008B1A87">
        <w:rPr>
          <w:sz w:val="22"/>
          <w:szCs w:val="22"/>
        </w:rPr>
        <w:t>Department</w:t>
      </w:r>
      <w:r w:rsidR="0071683B">
        <w:rPr>
          <w:sz w:val="22"/>
          <w:szCs w:val="22"/>
        </w:rPr>
        <w:t>’s Radioactive Waste</w:t>
      </w:r>
      <w:r w:rsidR="0071683B" w:rsidRPr="1D296605">
        <w:rPr>
          <w:sz w:val="22"/>
          <w:szCs w:val="22"/>
        </w:rPr>
        <w:t xml:space="preserve"> </w:t>
      </w:r>
      <w:r w:rsidR="0071683B">
        <w:rPr>
          <w:sz w:val="22"/>
          <w:szCs w:val="22"/>
        </w:rPr>
        <w:t xml:space="preserve">Site Surveillance </w:t>
      </w:r>
      <w:r w:rsidR="00507315">
        <w:rPr>
          <w:sz w:val="22"/>
          <w:szCs w:val="22"/>
        </w:rPr>
        <w:t>program</w:t>
      </w:r>
      <w:r w:rsidR="0043756E" w:rsidRPr="0043756E">
        <w:rPr>
          <w:sz w:val="22"/>
          <w:szCs w:val="22"/>
        </w:rPr>
        <w:t xml:space="preserve"> provides reimbursement to </w:t>
      </w:r>
      <w:r w:rsidR="00BE2F89" w:rsidRPr="0043756E">
        <w:rPr>
          <w:sz w:val="22"/>
          <w:szCs w:val="22"/>
        </w:rPr>
        <w:t>the site</w:t>
      </w:r>
      <w:r w:rsidR="0043756E" w:rsidRPr="0043756E">
        <w:rPr>
          <w:sz w:val="22"/>
          <w:szCs w:val="22"/>
        </w:rPr>
        <w:t xml:space="preserve"> owner for collection costs</w:t>
      </w:r>
      <w:r w:rsidR="0043756E">
        <w:rPr>
          <w:sz w:val="22"/>
          <w:szCs w:val="22"/>
        </w:rPr>
        <w:t>. Site</w:t>
      </w:r>
      <w:r w:rsidR="0043756E" w:rsidRPr="0043756E">
        <w:rPr>
          <w:sz w:val="22"/>
          <w:szCs w:val="22"/>
        </w:rPr>
        <w:t xml:space="preserve"> operators remit </w:t>
      </w:r>
      <w:r w:rsidR="00D66136">
        <w:rPr>
          <w:sz w:val="22"/>
          <w:szCs w:val="22"/>
        </w:rPr>
        <w:t xml:space="preserve">fees </w:t>
      </w:r>
      <w:r w:rsidR="0043756E" w:rsidRPr="0043756E">
        <w:rPr>
          <w:sz w:val="22"/>
          <w:szCs w:val="22"/>
        </w:rPr>
        <w:t>quarterly</w:t>
      </w:r>
      <w:r w:rsidR="0071683B">
        <w:rPr>
          <w:sz w:val="22"/>
          <w:szCs w:val="22"/>
        </w:rPr>
        <w:t xml:space="preserve"> to the Department</w:t>
      </w:r>
      <w:r w:rsidR="007A5271">
        <w:rPr>
          <w:sz w:val="22"/>
          <w:szCs w:val="22"/>
        </w:rPr>
        <w:t>,</w:t>
      </w:r>
      <w:r w:rsidR="00092C86" w:rsidRPr="001714C6">
        <w:rPr>
          <w:sz w:val="22"/>
          <w:szCs w:val="22"/>
        </w:rPr>
        <w:t xml:space="preserve"> generat</w:t>
      </w:r>
      <w:r w:rsidR="007157AC">
        <w:rPr>
          <w:sz w:val="22"/>
          <w:szCs w:val="22"/>
        </w:rPr>
        <w:t>ing</w:t>
      </w:r>
      <w:r w:rsidR="00092C86" w:rsidRPr="001714C6">
        <w:rPr>
          <w:sz w:val="22"/>
          <w:szCs w:val="22"/>
        </w:rPr>
        <w:t xml:space="preserve"> revenue for this program </w:t>
      </w:r>
      <w:r w:rsidR="00092C86">
        <w:rPr>
          <w:sz w:val="22"/>
          <w:szCs w:val="22"/>
        </w:rPr>
        <w:t>(</w:t>
      </w:r>
      <w:hyperlink r:id="rId23">
        <w:r w:rsidR="084F67C6" w:rsidRPr="2FC1AB7B">
          <w:rPr>
            <w:rStyle w:val="Hyperlink"/>
            <w:sz w:val="22"/>
            <w:szCs w:val="22"/>
          </w:rPr>
          <w:t>WAC 246-254-130</w:t>
        </w:r>
      </w:hyperlink>
      <w:r w:rsidR="6BFD17C6" w:rsidRPr="2FC1AB7B">
        <w:rPr>
          <w:sz w:val="22"/>
          <w:szCs w:val="22"/>
        </w:rPr>
        <w:t>).</w:t>
      </w:r>
      <w:r w:rsidR="00092C86" w:rsidRPr="00C552FD">
        <w:rPr>
          <w:sz w:val="22"/>
          <w:szCs w:val="22"/>
        </w:rPr>
        <w:t xml:space="preserve"> </w:t>
      </w:r>
      <w:r w:rsidR="00507315">
        <w:rPr>
          <w:sz w:val="22"/>
          <w:szCs w:val="22"/>
        </w:rPr>
        <w:t xml:space="preserve">The </w:t>
      </w:r>
      <w:r w:rsidR="0071683B">
        <w:rPr>
          <w:sz w:val="22"/>
          <w:szCs w:val="22"/>
        </w:rPr>
        <w:t>Radioactive Waste</w:t>
      </w:r>
      <w:r w:rsidR="0071683B" w:rsidRPr="1D296605">
        <w:rPr>
          <w:sz w:val="22"/>
          <w:szCs w:val="22"/>
        </w:rPr>
        <w:t xml:space="preserve"> </w:t>
      </w:r>
      <w:r w:rsidR="0071683B">
        <w:rPr>
          <w:sz w:val="22"/>
          <w:szCs w:val="22"/>
        </w:rPr>
        <w:t xml:space="preserve">Site </w:t>
      </w:r>
      <w:r w:rsidR="0071683B">
        <w:rPr>
          <w:sz w:val="22"/>
          <w:szCs w:val="22"/>
        </w:rPr>
        <w:lastRenderedPageBreak/>
        <w:t xml:space="preserve">Surveillance </w:t>
      </w:r>
      <w:r w:rsidR="007A5271">
        <w:rPr>
          <w:sz w:val="22"/>
          <w:szCs w:val="22"/>
        </w:rPr>
        <w:t xml:space="preserve">program has </w:t>
      </w:r>
      <w:r w:rsidR="002B63FB">
        <w:rPr>
          <w:sz w:val="22"/>
          <w:szCs w:val="22"/>
        </w:rPr>
        <w:t>licensing</w:t>
      </w:r>
      <w:r w:rsidR="00873AF0">
        <w:rPr>
          <w:sz w:val="22"/>
          <w:szCs w:val="22"/>
        </w:rPr>
        <w:t xml:space="preserve"> and surveillance fees </w:t>
      </w:r>
      <w:r w:rsidR="007A5271">
        <w:rPr>
          <w:sz w:val="22"/>
          <w:szCs w:val="22"/>
        </w:rPr>
        <w:t xml:space="preserve">for </w:t>
      </w:r>
      <w:r w:rsidR="00873AF0">
        <w:rPr>
          <w:sz w:val="22"/>
          <w:szCs w:val="22"/>
        </w:rPr>
        <w:t>u</w:t>
      </w:r>
      <w:r w:rsidR="00873AF0" w:rsidRPr="00873AF0">
        <w:rPr>
          <w:sz w:val="22"/>
          <w:szCs w:val="22"/>
        </w:rPr>
        <w:t>ranium, thorium</w:t>
      </w:r>
      <w:r w:rsidR="0071683B">
        <w:rPr>
          <w:sz w:val="22"/>
          <w:szCs w:val="22"/>
        </w:rPr>
        <w:t>,</w:t>
      </w:r>
      <w:r w:rsidR="00873AF0" w:rsidRPr="00873AF0">
        <w:rPr>
          <w:sz w:val="22"/>
          <w:szCs w:val="22"/>
        </w:rPr>
        <w:t xml:space="preserve"> </w:t>
      </w:r>
      <w:r w:rsidR="0071683B">
        <w:rPr>
          <w:sz w:val="22"/>
          <w:szCs w:val="22"/>
        </w:rPr>
        <w:t>and</w:t>
      </w:r>
      <w:r w:rsidR="00873AF0" w:rsidRPr="00873AF0">
        <w:rPr>
          <w:sz w:val="22"/>
          <w:szCs w:val="22"/>
        </w:rPr>
        <w:t xml:space="preserve"> other </w:t>
      </w:r>
      <w:r w:rsidR="00873AF0">
        <w:rPr>
          <w:sz w:val="22"/>
          <w:szCs w:val="22"/>
        </w:rPr>
        <w:t>m</w:t>
      </w:r>
      <w:r w:rsidR="00873AF0" w:rsidRPr="00873AF0">
        <w:rPr>
          <w:sz w:val="22"/>
          <w:szCs w:val="22"/>
        </w:rPr>
        <w:t>inerals</w:t>
      </w:r>
      <w:r w:rsidR="00873AF0">
        <w:rPr>
          <w:sz w:val="22"/>
          <w:szCs w:val="22"/>
        </w:rPr>
        <w:t xml:space="preserve"> (</w:t>
      </w:r>
      <w:hyperlink r:id="rId24">
        <w:r w:rsidR="5FC9FC84" w:rsidRPr="2FC1AB7B">
          <w:rPr>
            <w:rStyle w:val="Hyperlink"/>
            <w:sz w:val="22"/>
            <w:szCs w:val="22"/>
          </w:rPr>
          <w:t>WAC 246-254-140</w:t>
        </w:r>
      </w:hyperlink>
      <w:r w:rsidR="00ED38C0">
        <w:rPr>
          <w:sz w:val="22"/>
          <w:szCs w:val="22"/>
        </w:rPr>
        <w:t xml:space="preserve">)  and </w:t>
      </w:r>
      <w:r w:rsidR="00E8479D">
        <w:rPr>
          <w:sz w:val="22"/>
          <w:szCs w:val="22"/>
        </w:rPr>
        <w:t>p</w:t>
      </w:r>
      <w:r w:rsidR="00E8479D" w:rsidRPr="00E8479D">
        <w:rPr>
          <w:sz w:val="22"/>
          <w:szCs w:val="22"/>
        </w:rPr>
        <w:t xml:space="preserve">erpetual care </w:t>
      </w:r>
      <w:r w:rsidR="0071683B">
        <w:rPr>
          <w:sz w:val="22"/>
          <w:szCs w:val="22"/>
        </w:rPr>
        <w:t>and</w:t>
      </w:r>
      <w:r w:rsidR="00E8479D" w:rsidRPr="00E8479D">
        <w:rPr>
          <w:sz w:val="22"/>
          <w:szCs w:val="22"/>
        </w:rPr>
        <w:t xml:space="preserve"> maint</w:t>
      </w:r>
      <w:r w:rsidR="00E8479D">
        <w:rPr>
          <w:sz w:val="22"/>
          <w:szCs w:val="22"/>
        </w:rPr>
        <w:t>enance (</w:t>
      </w:r>
      <w:hyperlink r:id="rId25">
        <w:r w:rsidR="3D484E93" w:rsidRPr="2FC1AB7B">
          <w:rPr>
            <w:rStyle w:val="Hyperlink"/>
            <w:sz w:val="22"/>
            <w:szCs w:val="22"/>
          </w:rPr>
          <w:t xml:space="preserve">WAC </w:t>
        </w:r>
        <w:r w:rsidR="032517AA" w:rsidRPr="2FC1AB7B">
          <w:rPr>
            <w:rStyle w:val="Hyperlink"/>
            <w:sz w:val="22"/>
            <w:szCs w:val="22"/>
          </w:rPr>
          <w:t>246-254-150</w:t>
        </w:r>
      </w:hyperlink>
      <w:r w:rsidR="005F0302">
        <w:rPr>
          <w:sz w:val="22"/>
          <w:szCs w:val="22"/>
        </w:rPr>
        <w:t xml:space="preserve">), however these fees do not generate annual or </w:t>
      </w:r>
      <w:r w:rsidR="00A11DE9">
        <w:rPr>
          <w:sz w:val="22"/>
          <w:szCs w:val="22"/>
        </w:rPr>
        <w:t>consistent revenue for the program.</w:t>
      </w:r>
      <w:r w:rsidR="00E8479D">
        <w:rPr>
          <w:sz w:val="22"/>
          <w:szCs w:val="22"/>
        </w:rPr>
        <w:t xml:space="preserve"> </w:t>
      </w:r>
      <w:r w:rsidR="00092C86">
        <w:rPr>
          <w:sz w:val="22"/>
          <w:szCs w:val="22"/>
        </w:rPr>
        <w:t xml:space="preserve">The last fee changed occurred in </w:t>
      </w:r>
      <w:r w:rsidR="003D7799">
        <w:rPr>
          <w:sz w:val="22"/>
          <w:szCs w:val="22"/>
        </w:rPr>
        <w:t>2012</w:t>
      </w:r>
      <w:r w:rsidR="003601CC">
        <w:rPr>
          <w:sz w:val="22"/>
          <w:szCs w:val="22"/>
        </w:rPr>
        <w:t>.</w:t>
      </w:r>
    </w:p>
    <w:p w14:paraId="0397765D" w14:textId="2E2F17CA" w:rsidR="00092C86" w:rsidRDefault="00092C86" w:rsidP="00092C86">
      <w:pPr>
        <w:spacing w:before="120" w:line="286" w:lineRule="auto"/>
        <w:mirrorIndents/>
        <w:rPr>
          <w:sz w:val="22"/>
          <w:szCs w:val="22"/>
        </w:rPr>
      </w:pPr>
      <w:r>
        <w:rPr>
          <w:sz w:val="22"/>
          <w:szCs w:val="22"/>
        </w:rPr>
        <w:t xml:space="preserve">For the past </w:t>
      </w:r>
      <w:r w:rsidR="004B5FDD">
        <w:rPr>
          <w:sz w:val="22"/>
          <w:szCs w:val="22"/>
        </w:rPr>
        <w:t>three</w:t>
      </w:r>
      <w:r>
        <w:rPr>
          <w:sz w:val="22"/>
          <w:szCs w:val="22"/>
        </w:rPr>
        <w:t xml:space="preserve"> years, revenue </w:t>
      </w:r>
      <w:r w:rsidR="00AF71CB">
        <w:rPr>
          <w:sz w:val="22"/>
          <w:szCs w:val="22"/>
        </w:rPr>
        <w:t>de</w:t>
      </w:r>
      <w:r>
        <w:rPr>
          <w:sz w:val="22"/>
          <w:szCs w:val="22"/>
        </w:rPr>
        <w:t xml:space="preserve">creased an average of </w:t>
      </w:r>
      <w:r w:rsidR="004B5FDD">
        <w:rPr>
          <w:sz w:val="22"/>
          <w:szCs w:val="22"/>
        </w:rPr>
        <w:t>9%</w:t>
      </w:r>
      <w:r>
        <w:rPr>
          <w:sz w:val="22"/>
          <w:szCs w:val="22"/>
        </w:rPr>
        <w:t xml:space="preserve"> annuall</w:t>
      </w:r>
      <w:r w:rsidR="00AF5124">
        <w:rPr>
          <w:sz w:val="22"/>
          <w:szCs w:val="22"/>
        </w:rPr>
        <w:t xml:space="preserve">y due to </w:t>
      </w:r>
      <w:r w:rsidR="00154770">
        <w:rPr>
          <w:sz w:val="22"/>
          <w:szCs w:val="22"/>
        </w:rPr>
        <w:t>less radioactive waste at disposal sites</w:t>
      </w:r>
      <w:r>
        <w:rPr>
          <w:sz w:val="22"/>
          <w:szCs w:val="22"/>
        </w:rPr>
        <w:t>.</w:t>
      </w:r>
    </w:p>
    <w:p w14:paraId="147BAA79" w14:textId="71AD8744" w:rsidR="00092C86" w:rsidRDefault="00092C86" w:rsidP="2FC1AB7B">
      <w:pPr>
        <w:pStyle w:val="NoSpacing"/>
      </w:pPr>
    </w:p>
    <w:p w14:paraId="02E6F3B1" w14:textId="0E255709" w:rsidR="0033006B" w:rsidRPr="00125C98" w:rsidRDefault="00092C86" w:rsidP="0033006B">
      <w:pPr>
        <w:spacing w:after="0"/>
        <w:rPr>
          <w:b/>
          <w:bCs/>
          <w:sz w:val="22"/>
          <w:szCs w:val="22"/>
        </w:rPr>
      </w:pPr>
      <w:r w:rsidRPr="008B1629">
        <w:rPr>
          <w:b/>
          <w:bCs/>
          <w:sz w:val="24"/>
          <w:szCs w:val="24"/>
        </w:rPr>
        <w:t>Expenditures</w:t>
      </w:r>
      <w:r w:rsidR="0033006B" w:rsidRPr="0033006B">
        <w:rPr>
          <w:b/>
          <w:bCs/>
          <w:sz w:val="22"/>
          <w:szCs w:val="22"/>
        </w:rPr>
        <w:t xml:space="preserve"> </w:t>
      </w:r>
    </w:p>
    <w:p w14:paraId="44906B38" w14:textId="195FBDBE" w:rsidR="00092C86" w:rsidRPr="00AC27F9" w:rsidRDefault="000873E1" w:rsidP="00AC27F9">
      <w:pPr>
        <w:widowControl w:val="0"/>
        <w:spacing w:line="286" w:lineRule="auto"/>
        <w:mirrorIndents/>
      </w:pPr>
      <w:r w:rsidRPr="00427624">
        <w:rPr>
          <w:sz w:val="22"/>
          <w:szCs w:val="22"/>
        </w:rPr>
        <w:t xml:space="preserve">Costs for the </w:t>
      </w:r>
      <w:r w:rsidR="0071683B">
        <w:rPr>
          <w:sz w:val="22"/>
          <w:szCs w:val="22"/>
        </w:rPr>
        <w:t>Department’s Radioactive Waste</w:t>
      </w:r>
      <w:r w:rsidR="0071683B" w:rsidRPr="1D296605">
        <w:rPr>
          <w:sz w:val="22"/>
          <w:szCs w:val="22"/>
        </w:rPr>
        <w:t xml:space="preserve"> </w:t>
      </w:r>
      <w:r w:rsidR="0071683B">
        <w:rPr>
          <w:sz w:val="22"/>
          <w:szCs w:val="22"/>
        </w:rPr>
        <w:t xml:space="preserve">Site Surveillance </w:t>
      </w:r>
      <w:r w:rsidRPr="00427624">
        <w:rPr>
          <w:sz w:val="22"/>
          <w:szCs w:val="22"/>
        </w:rPr>
        <w:t xml:space="preserve">program </w:t>
      </w:r>
      <w:r>
        <w:rPr>
          <w:sz w:val="22"/>
          <w:szCs w:val="22"/>
        </w:rPr>
        <w:t xml:space="preserve">are </w:t>
      </w:r>
      <w:r w:rsidRPr="00427624">
        <w:rPr>
          <w:sz w:val="22"/>
          <w:szCs w:val="22"/>
        </w:rPr>
        <w:t xml:space="preserve">classified into </w:t>
      </w:r>
      <w:r>
        <w:rPr>
          <w:sz w:val="22"/>
          <w:szCs w:val="22"/>
        </w:rPr>
        <w:t xml:space="preserve">three </w:t>
      </w:r>
      <w:r w:rsidRPr="00427624">
        <w:rPr>
          <w:sz w:val="22"/>
          <w:szCs w:val="22"/>
        </w:rPr>
        <w:t>primary</w:t>
      </w:r>
      <w:r>
        <w:rPr>
          <w:sz w:val="22"/>
          <w:szCs w:val="22"/>
        </w:rPr>
        <w:t xml:space="preserve"> cost categories</w:t>
      </w:r>
      <w:r w:rsidRPr="6FCC0C98">
        <w:rPr>
          <w:sz w:val="22"/>
          <w:szCs w:val="22"/>
        </w:rPr>
        <w:t>:</w:t>
      </w:r>
      <w:r>
        <w:rPr>
          <w:sz w:val="22"/>
          <w:szCs w:val="22"/>
        </w:rPr>
        <w:t xml:space="preserve"> Operations, Public Health Lab (PHL) Testing, and Indirect. </w:t>
      </w:r>
      <w:r w:rsidR="41048990">
        <w:rPr>
          <w:noProof/>
        </w:rPr>
        <w:drawing>
          <wp:inline distT="0" distB="0" distL="0" distR="0" wp14:anchorId="1EA5517E" wp14:editId="2CDF23D3">
            <wp:extent cx="5943600" cy="1003300"/>
            <wp:effectExtent l="0" t="0" r="0" b="6350"/>
            <wp:docPr id="49768129" name="Picture 1" descr="Graphical user interface,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6">
                      <a:extLst>
                        <a:ext uri="{28A0092B-C50C-407E-A947-70E740481C1C}">
                          <a14:useLocalDpi xmlns:a14="http://schemas.microsoft.com/office/drawing/2010/main" val="0"/>
                        </a:ext>
                      </a:extLst>
                    </a:blip>
                    <a:stretch>
                      <a:fillRect/>
                    </a:stretch>
                  </pic:blipFill>
                  <pic:spPr>
                    <a:xfrm>
                      <a:off x="0" y="0"/>
                      <a:ext cx="5943600" cy="1003300"/>
                    </a:xfrm>
                    <a:prstGeom prst="rect">
                      <a:avLst/>
                    </a:prstGeom>
                  </pic:spPr>
                </pic:pic>
              </a:graphicData>
            </a:graphic>
          </wp:inline>
        </w:drawing>
      </w:r>
    </w:p>
    <w:p w14:paraId="1BD4142D" w14:textId="77777777" w:rsidR="0071683B" w:rsidRDefault="0071683B" w:rsidP="2FC1AB7B">
      <w:pPr>
        <w:pStyle w:val="NoSpacing"/>
      </w:pPr>
    </w:p>
    <w:p w14:paraId="736E2B7E" w14:textId="09ABB890" w:rsidR="00092C86" w:rsidRPr="00015269" w:rsidRDefault="00092C86" w:rsidP="00015269">
      <w:pPr>
        <w:spacing w:after="0"/>
        <w:rPr>
          <w:b/>
          <w:bCs/>
          <w:sz w:val="24"/>
          <w:szCs w:val="24"/>
        </w:rPr>
      </w:pPr>
      <w:r w:rsidRPr="00015269">
        <w:rPr>
          <w:b/>
          <w:bCs/>
          <w:sz w:val="24"/>
          <w:szCs w:val="24"/>
        </w:rPr>
        <w:t>Financial Forecast</w:t>
      </w:r>
    </w:p>
    <w:p w14:paraId="64876D0B" w14:textId="77777777" w:rsidR="00092C86" w:rsidRPr="00015269" w:rsidRDefault="00092C86" w:rsidP="00015269">
      <w:pPr>
        <w:spacing w:after="0"/>
        <w:rPr>
          <w:b/>
          <w:bCs/>
          <w:sz w:val="22"/>
          <w:szCs w:val="22"/>
        </w:rPr>
      </w:pPr>
      <w:r w:rsidRPr="00015269">
        <w:rPr>
          <w:b/>
          <w:bCs/>
          <w:sz w:val="22"/>
          <w:szCs w:val="22"/>
        </w:rPr>
        <w:t>Revenue</w:t>
      </w:r>
    </w:p>
    <w:p w14:paraId="0E0DE968" w14:textId="4278A082" w:rsidR="0099361F" w:rsidRDefault="36A3759A" w:rsidP="0099361F">
      <w:pPr>
        <w:mirrorIndents/>
        <w:rPr>
          <w:sz w:val="22"/>
          <w:szCs w:val="22"/>
        </w:rPr>
      </w:pPr>
      <w:r w:rsidRPr="2FC1AB7B">
        <w:rPr>
          <w:sz w:val="22"/>
          <w:szCs w:val="22"/>
        </w:rPr>
        <w:t xml:space="preserve">The </w:t>
      </w:r>
      <w:r w:rsidR="27BDF880" w:rsidRPr="2FC1AB7B">
        <w:rPr>
          <w:sz w:val="22"/>
          <w:szCs w:val="22"/>
        </w:rPr>
        <w:t>D</w:t>
      </w:r>
      <w:r w:rsidRPr="2FC1AB7B">
        <w:rPr>
          <w:sz w:val="22"/>
          <w:szCs w:val="22"/>
        </w:rPr>
        <w:t>epartment</w:t>
      </w:r>
      <w:r w:rsidR="0099361F" w:rsidRPr="00FA23D0">
        <w:rPr>
          <w:sz w:val="22"/>
          <w:szCs w:val="22"/>
        </w:rPr>
        <w:t xml:space="preserve"> does not anticipate any significant growth in </w:t>
      </w:r>
      <w:r w:rsidR="0099361F">
        <w:rPr>
          <w:sz w:val="22"/>
          <w:szCs w:val="22"/>
        </w:rPr>
        <w:t>radioactive waste disposal or regulatory activities</w:t>
      </w:r>
      <w:r w:rsidR="0099361F" w:rsidRPr="00FA23D0">
        <w:rPr>
          <w:sz w:val="22"/>
          <w:szCs w:val="22"/>
        </w:rPr>
        <w:t xml:space="preserve"> over the next five years. Operations are projected to continue</w:t>
      </w:r>
      <w:r w:rsidR="0099361F">
        <w:rPr>
          <w:sz w:val="22"/>
          <w:szCs w:val="22"/>
        </w:rPr>
        <w:t xml:space="preserve"> declining in radioactive waste site surveillance fees</w:t>
      </w:r>
      <w:r w:rsidR="0099361F" w:rsidRPr="00FA23D0">
        <w:rPr>
          <w:sz w:val="22"/>
          <w:szCs w:val="22"/>
        </w:rPr>
        <w:t xml:space="preserve">. Most significantly, </w:t>
      </w:r>
      <w:r w:rsidR="0099361F">
        <w:rPr>
          <w:sz w:val="22"/>
          <w:szCs w:val="22"/>
        </w:rPr>
        <w:t xml:space="preserve">radioactive waste site </w:t>
      </w:r>
      <w:r w:rsidR="0099361F" w:rsidRPr="0043103E">
        <w:rPr>
          <w:sz w:val="22"/>
          <w:szCs w:val="22"/>
        </w:rPr>
        <w:t>surveillance fee</w:t>
      </w:r>
      <w:r w:rsidR="00540957">
        <w:rPr>
          <w:sz w:val="22"/>
          <w:szCs w:val="22"/>
        </w:rPr>
        <w:t>s</w:t>
      </w:r>
      <w:r w:rsidR="0099361F" w:rsidRPr="0043103E">
        <w:rPr>
          <w:sz w:val="22"/>
          <w:szCs w:val="22"/>
        </w:rPr>
        <w:t xml:space="preserve"> </w:t>
      </w:r>
      <w:r w:rsidR="0099361F">
        <w:rPr>
          <w:sz w:val="22"/>
          <w:szCs w:val="22"/>
        </w:rPr>
        <w:t>from</w:t>
      </w:r>
      <w:r w:rsidR="0099361F" w:rsidRPr="0043103E">
        <w:rPr>
          <w:sz w:val="22"/>
          <w:szCs w:val="22"/>
        </w:rPr>
        <w:t xml:space="preserve"> generators and brokers of LLRW</w:t>
      </w:r>
      <w:r w:rsidR="0099361F">
        <w:rPr>
          <w:sz w:val="22"/>
          <w:szCs w:val="22"/>
        </w:rPr>
        <w:t xml:space="preserve"> </w:t>
      </w:r>
      <w:r w:rsidR="0099361F" w:rsidRPr="00BB7580">
        <w:rPr>
          <w:sz w:val="22"/>
          <w:szCs w:val="22"/>
        </w:rPr>
        <w:t>(low-level radioactive waste)</w:t>
      </w:r>
      <w:r w:rsidR="0099361F" w:rsidRPr="0043103E">
        <w:rPr>
          <w:sz w:val="22"/>
          <w:szCs w:val="22"/>
        </w:rPr>
        <w:t xml:space="preserve"> and NARM</w:t>
      </w:r>
      <w:r w:rsidR="0099361F">
        <w:rPr>
          <w:sz w:val="22"/>
          <w:szCs w:val="22"/>
        </w:rPr>
        <w:t xml:space="preserve"> </w:t>
      </w:r>
      <w:r w:rsidR="0099361F" w:rsidRPr="00BB7580">
        <w:rPr>
          <w:sz w:val="22"/>
          <w:szCs w:val="22"/>
        </w:rPr>
        <w:t>(naturally occurring and accelerator produced radioactive material)</w:t>
      </w:r>
      <w:r w:rsidR="0099361F">
        <w:rPr>
          <w:sz w:val="22"/>
          <w:szCs w:val="22"/>
        </w:rPr>
        <w:t xml:space="preserve"> </w:t>
      </w:r>
      <w:r w:rsidR="0099361F" w:rsidRPr="00FA23D0">
        <w:rPr>
          <w:sz w:val="22"/>
          <w:szCs w:val="22"/>
        </w:rPr>
        <w:t xml:space="preserve">decline </w:t>
      </w:r>
      <w:r w:rsidR="0099361F">
        <w:rPr>
          <w:sz w:val="22"/>
          <w:szCs w:val="22"/>
        </w:rPr>
        <w:t xml:space="preserve">an average of 9% </w:t>
      </w:r>
      <w:r w:rsidR="0099361F" w:rsidRPr="00FA23D0">
        <w:rPr>
          <w:sz w:val="22"/>
          <w:szCs w:val="22"/>
        </w:rPr>
        <w:t>annually</w:t>
      </w:r>
      <w:r w:rsidR="0099361F">
        <w:rPr>
          <w:sz w:val="22"/>
          <w:szCs w:val="22"/>
        </w:rPr>
        <w:t>.</w:t>
      </w:r>
      <w:r w:rsidR="0099361F" w:rsidRPr="00FA23D0">
        <w:rPr>
          <w:sz w:val="22"/>
          <w:szCs w:val="22"/>
        </w:rPr>
        <w:t xml:space="preserve"> </w:t>
      </w:r>
      <w:r w:rsidR="00BE6555">
        <w:rPr>
          <w:sz w:val="22"/>
          <w:szCs w:val="22"/>
        </w:rPr>
        <w:t>The Department</w:t>
      </w:r>
      <w:r w:rsidR="00BE6555" w:rsidRPr="00FA23D0">
        <w:rPr>
          <w:sz w:val="22"/>
          <w:szCs w:val="22"/>
        </w:rPr>
        <w:t xml:space="preserve"> </w:t>
      </w:r>
      <w:r w:rsidR="0099361F" w:rsidRPr="00FA23D0">
        <w:rPr>
          <w:sz w:val="22"/>
          <w:szCs w:val="22"/>
        </w:rPr>
        <w:t>expect</w:t>
      </w:r>
      <w:r w:rsidR="00BE6555">
        <w:rPr>
          <w:sz w:val="22"/>
          <w:szCs w:val="22"/>
        </w:rPr>
        <w:t>s</w:t>
      </w:r>
      <w:r w:rsidR="0099361F" w:rsidRPr="00FA23D0">
        <w:rPr>
          <w:sz w:val="22"/>
          <w:szCs w:val="22"/>
        </w:rPr>
        <w:t xml:space="preserve"> these trends to continue</w:t>
      </w:r>
      <w:r w:rsidR="0099361F" w:rsidRPr="4C1C12C1">
        <w:rPr>
          <w:sz w:val="22"/>
          <w:szCs w:val="22"/>
        </w:rPr>
        <w:t xml:space="preserve">. </w:t>
      </w:r>
    </w:p>
    <w:p w14:paraId="55D03C1E" w14:textId="77777777" w:rsidR="00092C86" w:rsidRPr="00015269" w:rsidRDefault="00092C86" w:rsidP="00015269">
      <w:pPr>
        <w:spacing w:after="0"/>
        <w:rPr>
          <w:b/>
          <w:bCs/>
          <w:sz w:val="22"/>
          <w:szCs w:val="22"/>
        </w:rPr>
      </w:pPr>
      <w:r w:rsidRPr="00015269">
        <w:rPr>
          <w:b/>
          <w:bCs/>
          <w:sz w:val="22"/>
          <w:szCs w:val="22"/>
        </w:rPr>
        <w:t>Expenditures</w:t>
      </w:r>
    </w:p>
    <w:p w14:paraId="309F2470" w14:textId="0F3AE6CD" w:rsidR="00092C86" w:rsidRDefault="283851A6" w:rsidP="00092C86">
      <w:pPr>
        <w:widowControl w:val="0"/>
        <w:spacing w:line="286" w:lineRule="auto"/>
        <w:mirrorIndents/>
      </w:pPr>
      <w:r w:rsidRPr="26611CF0">
        <w:rPr>
          <w:rFonts w:eastAsia="Calibri"/>
          <w:color w:val="000000" w:themeColor="text1"/>
          <w:sz w:val="22"/>
          <w:szCs w:val="22"/>
        </w:rPr>
        <w:t xml:space="preserve">The </w:t>
      </w:r>
      <w:r w:rsidR="27BDF880" w:rsidRPr="2FC1AB7B">
        <w:rPr>
          <w:rFonts w:eastAsia="Calibri"/>
          <w:color w:val="000000" w:themeColor="text1"/>
          <w:sz w:val="22"/>
          <w:szCs w:val="22"/>
        </w:rPr>
        <w:t>D</w:t>
      </w:r>
      <w:r w:rsidR="05407AC6" w:rsidRPr="2FC1AB7B">
        <w:rPr>
          <w:rFonts w:eastAsia="Calibri"/>
          <w:color w:val="000000" w:themeColor="text1"/>
          <w:sz w:val="22"/>
          <w:szCs w:val="22"/>
        </w:rPr>
        <w:t>epartment</w:t>
      </w:r>
      <w:r w:rsidRPr="26611CF0">
        <w:rPr>
          <w:rFonts w:eastAsia="Calibri"/>
          <w:color w:val="000000" w:themeColor="text1"/>
          <w:sz w:val="22"/>
          <w:szCs w:val="22"/>
        </w:rPr>
        <w:t xml:space="preserve"> anticipates costs for the program personnel to increase by three percent annually. Cost increases are primarily due to inflation for personnel-related costs.</w:t>
      </w:r>
      <w:r w:rsidRPr="26611CF0">
        <w:rPr>
          <w:noProof/>
        </w:rPr>
        <w:t xml:space="preserve"> </w:t>
      </w:r>
      <w:r w:rsidRPr="26611CF0">
        <w:rPr>
          <w:noProof/>
          <w:sz w:val="22"/>
          <w:szCs w:val="22"/>
        </w:rPr>
        <w:t xml:space="preserve">The </w:t>
      </w:r>
      <w:r w:rsidR="00BE6555">
        <w:rPr>
          <w:sz w:val="22"/>
          <w:szCs w:val="22"/>
        </w:rPr>
        <w:t>Radioactive Waste</w:t>
      </w:r>
      <w:r w:rsidR="00BE6555" w:rsidRPr="1D296605">
        <w:rPr>
          <w:sz w:val="22"/>
          <w:szCs w:val="22"/>
        </w:rPr>
        <w:t xml:space="preserve"> </w:t>
      </w:r>
      <w:r w:rsidR="00BE6555">
        <w:rPr>
          <w:sz w:val="22"/>
          <w:szCs w:val="22"/>
        </w:rPr>
        <w:t xml:space="preserve">Site Surveillance </w:t>
      </w:r>
      <w:r w:rsidRPr="26611CF0">
        <w:rPr>
          <w:noProof/>
          <w:sz w:val="22"/>
          <w:szCs w:val="22"/>
        </w:rPr>
        <w:t xml:space="preserve">program needs </w:t>
      </w:r>
      <w:r w:rsidRPr="26611CF0">
        <w:rPr>
          <w:sz w:val="22"/>
          <w:szCs w:val="22"/>
        </w:rPr>
        <w:t>a fee adjustment to address existing program deficits, reductions in funding from the General Fund State (GFS) account and cost-of-living adjustments made in the 2025-2027 state budget (ESSB 5167).</w:t>
      </w:r>
    </w:p>
    <w:p w14:paraId="6445B8D9" w14:textId="77777777" w:rsidR="00092C86" w:rsidRPr="00015269" w:rsidRDefault="00092C86" w:rsidP="00015269">
      <w:pPr>
        <w:spacing w:after="0"/>
        <w:rPr>
          <w:b/>
          <w:bCs/>
          <w:sz w:val="22"/>
          <w:szCs w:val="22"/>
        </w:rPr>
      </w:pPr>
      <w:r w:rsidRPr="00015269">
        <w:rPr>
          <w:b/>
          <w:bCs/>
          <w:sz w:val="22"/>
          <w:szCs w:val="22"/>
        </w:rPr>
        <w:t>Fee Reserve</w:t>
      </w:r>
    </w:p>
    <w:p w14:paraId="452C30CC" w14:textId="0B9AA20F" w:rsidR="00322AD1" w:rsidRDefault="00322AD1" w:rsidP="00322AD1">
      <w:pPr>
        <w:widowControl w:val="0"/>
        <w:spacing w:line="286" w:lineRule="auto"/>
        <w:mirrorIndents/>
        <w:rPr>
          <w:rFonts w:ascii="Cambria" w:hAnsi="Cambria"/>
          <w:color w:val="2F5496" w:themeColor="accent5" w:themeShade="BF"/>
          <w:sz w:val="24"/>
          <w:szCs w:val="24"/>
        </w:rPr>
      </w:pPr>
      <w:r w:rsidRPr="4E3FC84D">
        <w:rPr>
          <w:rFonts w:eastAsia="Calibri"/>
          <w:color w:val="000000" w:themeColor="text1"/>
          <w:sz w:val="22"/>
          <w:szCs w:val="22"/>
        </w:rPr>
        <w:t xml:space="preserve">The </w:t>
      </w:r>
      <w:r w:rsidR="00BE6555">
        <w:rPr>
          <w:sz w:val="22"/>
          <w:szCs w:val="22"/>
        </w:rPr>
        <w:t>Radioactive Waste</w:t>
      </w:r>
      <w:r w:rsidR="00BE6555" w:rsidRPr="1D296605">
        <w:rPr>
          <w:sz w:val="22"/>
          <w:szCs w:val="22"/>
        </w:rPr>
        <w:t xml:space="preserve"> </w:t>
      </w:r>
      <w:r w:rsidR="00BE6555">
        <w:rPr>
          <w:sz w:val="22"/>
          <w:szCs w:val="22"/>
        </w:rPr>
        <w:t xml:space="preserve">Site Surveillance </w:t>
      </w:r>
      <w:r w:rsidRPr="4E3FC84D">
        <w:rPr>
          <w:rFonts w:eastAsia="Calibri"/>
          <w:color w:val="000000" w:themeColor="text1"/>
          <w:sz w:val="22"/>
          <w:szCs w:val="22"/>
        </w:rPr>
        <w:t>program is not expected to generate enough revenue to cover costs over the next six years</w:t>
      </w:r>
      <w:r w:rsidR="00C42AA8">
        <w:rPr>
          <w:rFonts w:eastAsia="Calibri"/>
          <w:color w:val="000000" w:themeColor="text1"/>
          <w:sz w:val="22"/>
          <w:szCs w:val="22"/>
        </w:rPr>
        <w:t xml:space="preserve"> and </w:t>
      </w:r>
      <w:r w:rsidRPr="4E3FC84D">
        <w:rPr>
          <w:rFonts w:eastAsia="Calibri"/>
          <w:color w:val="000000" w:themeColor="text1"/>
          <w:sz w:val="22"/>
          <w:szCs w:val="22"/>
        </w:rPr>
        <w:t>the reserve fee balance</w:t>
      </w:r>
      <w:r w:rsidR="00C42AA8">
        <w:rPr>
          <w:rFonts w:eastAsia="Calibri"/>
          <w:color w:val="000000" w:themeColor="text1"/>
          <w:sz w:val="22"/>
          <w:szCs w:val="22"/>
        </w:rPr>
        <w:t xml:space="preserve"> is </w:t>
      </w:r>
      <w:r w:rsidR="0069552B">
        <w:rPr>
          <w:rFonts w:eastAsia="Calibri"/>
          <w:color w:val="000000" w:themeColor="text1"/>
          <w:sz w:val="22"/>
          <w:szCs w:val="22"/>
        </w:rPr>
        <w:t>operating at a deficit</w:t>
      </w:r>
      <w:r w:rsidRPr="4E3FC84D">
        <w:rPr>
          <w:rFonts w:eastAsia="Calibri"/>
          <w:color w:val="000000" w:themeColor="text1"/>
          <w:sz w:val="22"/>
          <w:szCs w:val="22"/>
        </w:rPr>
        <w:t>.</w:t>
      </w:r>
    </w:p>
    <w:p w14:paraId="4B58D069" w14:textId="77777777" w:rsidR="00322AD1" w:rsidRDefault="00322AD1" w:rsidP="00322AD1">
      <w:pPr>
        <w:widowControl w:val="0"/>
        <w:spacing w:line="286" w:lineRule="auto"/>
        <w:mirrorIndents/>
        <w:rPr>
          <w:sz w:val="22"/>
          <w:szCs w:val="22"/>
        </w:rPr>
      </w:pPr>
      <w:r>
        <w:rPr>
          <w:sz w:val="22"/>
          <w:szCs w:val="22"/>
        </w:rPr>
        <w:t>The chart below shows actual revenue and expenditures from FY 2019 through FY 2024, and projected revenue and expenditures from FY 2025 through FY 2031.</w:t>
      </w:r>
    </w:p>
    <w:p w14:paraId="5F0763FE" w14:textId="77777777" w:rsidR="00D82FB6" w:rsidRDefault="00540957" w:rsidP="00540957">
      <w:pPr>
        <w:rPr>
          <w:rFonts w:eastAsiaTheme="minorEastAsia"/>
        </w:rPr>
      </w:pPr>
      <w:r w:rsidRPr="00A10A3F">
        <w:rPr>
          <w:noProof/>
          <w:sz w:val="22"/>
          <w:szCs w:val="22"/>
        </w:rPr>
        <w:lastRenderedPageBreak/>
        <w:drawing>
          <wp:inline distT="0" distB="0" distL="0" distR="0" wp14:anchorId="65477B38" wp14:editId="0B5AE271">
            <wp:extent cx="5943600" cy="2270125"/>
            <wp:effectExtent l="0" t="0" r="0" b="0"/>
            <wp:docPr id="1178100338" name="Picture 1" descr="Chart, line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100338" name="Picture 1" descr="Chart, line chart&#10;&#10;AI-generated content may be incorrect."/>
                    <pic:cNvPicPr/>
                  </pic:nvPicPr>
                  <pic:blipFill>
                    <a:blip r:embed="rId27"/>
                    <a:stretch>
                      <a:fillRect/>
                    </a:stretch>
                  </pic:blipFill>
                  <pic:spPr>
                    <a:xfrm>
                      <a:off x="0" y="0"/>
                      <a:ext cx="5943600" cy="2270125"/>
                    </a:xfrm>
                    <a:prstGeom prst="rect">
                      <a:avLst/>
                    </a:prstGeom>
                  </pic:spPr>
                </pic:pic>
              </a:graphicData>
            </a:graphic>
          </wp:inline>
        </w:drawing>
      </w:r>
    </w:p>
    <w:p w14:paraId="6EF3618D" w14:textId="77777777" w:rsidR="008D37A4" w:rsidRDefault="008D37A4" w:rsidP="00540957">
      <w:pPr>
        <w:rPr>
          <w:b/>
          <w:bCs/>
          <w:sz w:val="24"/>
          <w:szCs w:val="24"/>
        </w:rPr>
      </w:pPr>
    </w:p>
    <w:p w14:paraId="6CEE9406" w14:textId="4FC90C8D" w:rsidR="00092C86" w:rsidRPr="00BD173D" w:rsidRDefault="00092C86" w:rsidP="00BD173D">
      <w:pPr>
        <w:pStyle w:val="NoSpacing"/>
        <w:rPr>
          <w:rFonts w:eastAsiaTheme="minorEastAsia"/>
          <w:b/>
          <w:bCs/>
          <w:sz w:val="24"/>
          <w:szCs w:val="24"/>
        </w:rPr>
      </w:pPr>
      <w:r w:rsidRPr="00BD173D">
        <w:rPr>
          <w:b/>
          <w:bCs/>
          <w:sz w:val="24"/>
          <w:szCs w:val="24"/>
        </w:rPr>
        <w:t xml:space="preserve">Fee Proposal </w:t>
      </w:r>
    </w:p>
    <w:p w14:paraId="648BE650" w14:textId="680A1DBB" w:rsidR="00E816E8" w:rsidRDefault="00E816E8" w:rsidP="00E816E8">
      <w:pPr>
        <w:rPr>
          <w:sz w:val="22"/>
          <w:szCs w:val="22"/>
        </w:rPr>
      </w:pPr>
      <w:r w:rsidRPr="2FC1AB7B">
        <w:rPr>
          <w:sz w:val="22"/>
          <w:szCs w:val="22"/>
        </w:rPr>
        <w:t xml:space="preserve">To </w:t>
      </w:r>
      <w:r w:rsidR="00BE6555" w:rsidRPr="00BE6555">
        <w:rPr>
          <w:sz w:val="22"/>
          <w:szCs w:val="22"/>
        </w:rPr>
        <w:t>address existing program deficits, reductions in funding from the General Fund State (GFS) account and cost-of-living adjustments made in the 2025-2027 state budget (ESSB 5167)</w:t>
      </w:r>
      <w:r w:rsidR="00BE6555">
        <w:rPr>
          <w:sz w:val="22"/>
          <w:szCs w:val="22"/>
        </w:rPr>
        <w:t xml:space="preserve">, and </w:t>
      </w:r>
      <w:r w:rsidRPr="00BE6555">
        <w:rPr>
          <w:sz w:val="22"/>
          <w:szCs w:val="22"/>
        </w:rPr>
        <w:t>bring the Radioactive Waste Site Surveillance fee balance into alignment with requirements, the following fees are proposed</w:t>
      </w:r>
      <w:r>
        <w:rPr>
          <w:sz w:val="22"/>
          <w:szCs w:val="22"/>
        </w:rPr>
        <w:t>:</w:t>
      </w:r>
    </w:p>
    <w:p w14:paraId="70A7FAAE" w14:textId="0B61F335" w:rsidR="00092C86" w:rsidRPr="00EB3809" w:rsidRDefault="00067FB2" w:rsidP="00092C86">
      <w:pPr>
        <w:rPr>
          <w:sz w:val="14"/>
          <w:szCs w:val="14"/>
        </w:rPr>
      </w:pPr>
      <w:r w:rsidRPr="00067FB2">
        <w:rPr>
          <w:noProof/>
          <w:sz w:val="14"/>
          <w:szCs w:val="14"/>
        </w:rPr>
        <w:drawing>
          <wp:inline distT="0" distB="0" distL="0" distR="0" wp14:anchorId="47BBEF40" wp14:editId="71AB44C4">
            <wp:extent cx="5943600" cy="2159635"/>
            <wp:effectExtent l="0" t="0" r="0" b="0"/>
            <wp:docPr id="1923127141" name="Picture 1" descr="Graphical user interface, tex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127141" name="Picture 1" descr="Graphical user interface, text, application&#10;&#10;AI-generated content may be incorrect."/>
                    <pic:cNvPicPr/>
                  </pic:nvPicPr>
                  <pic:blipFill>
                    <a:blip r:embed="rId28"/>
                    <a:stretch>
                      <a:fillRect/>
                    </a:stretch>
                  </pic:blipFill>
                  <pic:spPr>
                    <a:xfrm>
                      <a:off x="0" y="0"/>
                      <a:ext cx="5943600" cy="2159635"/>
                    </a:xfrm>
                    <a:prstGeom prst="rect">
                      <a:avLst/>
                    </a:prstGeom>
                  </pic:spPr>
                </pic:pic>
              </a:graphicData>
            </a:graphic>
          </wp:inline>
        </w:drawing>
      </w:r>
    </w:p>
    <w:p w14:paraId="7748DB25" w14:textId="17C159D8" w:rsidR="00092C86" w:rsidRDefault="00092C86" w:rsidP="00092C86">
      <w:pPr>
        <w:mirrorIndents/>
        <w:rPr>
          <w:sz w:val="22"/>
          <w:szCs w:val="22"/>
        </w:rPr>
      </w:pPr>
      <w:r>
        <w:rPr>
          <w:sz w:val="22"/>
          <w:szCs w:val="22"/>
        </w:rPr>
        <w:t xml:space="preserve">This proposal allows the </w:t>
      </w:r>
      <w:r w:rsidR="3F4352F5" w:rsidRPr="2FC1AB7B">
        <w:rPr>
          <w:sz w:val="22"/>
          <w:szCs w:val="22"/>
        </w:rPr>
        <w:t>D</w:t>
      </w:r>
      <w:r w:rsidR="6BFD17C6" w:rsidRPr="2FC1AB7B">
        <w:rPr>
          <w:sz w:val="22"/>
          <w:szCs w:val="22"/>
        </w:rPr>
        <w:t>epartment</w:t>
      </w:r>
      <w:r>
        <w:rPr>
          <w:sz w:val="22"/>
          <w:szCs w:val="22"/>
        </w:rPr>
        <w:t xml:space="preserve"> to </w:t>
      </w:r>
      <w:r w:rsidR="00657BDB">
        <w:rPr>
          <w:sz w:val="22"/>
          <w:szCs w:val="22"/>
        </w:rPr>
        <w:t xml:space="preserve">cover the program expenditures and </w:t>
      </w:r>
      <w:r w:rsidR="00FD017A">
        <w:rPr>
          <w:sz w:val="22"/>
          <w:szCs w:val="22"/>
        </w:rPr>
        <w:t>began the</w:t>
      </w:r>
      <w:r w:rsidR="00F17078">
        <w:rPr>
          <w:sz w:val="22"/>
          <w:szCs w:val="22"/>
        </w:rPr>
        <w:t xml:space="preserve"> </w:t>
      </w:r>
      <w:r w:rsidR="00600E81">
        <w:rPr>
          <w:sz w:val="22"/>
          <w:szCs w:val="22"/>
        </w:rPr>
        <w:t>restor</w:t>
      </w:r>
      <w:r w:rsidR="00F17078">
        <w:rPr>
          <w:sz w:val="22"/>
          <w:szCs w:val="22"/>
        </w:rPr>
        <w:t>ation of</w:t>
      </w:r>
      <w:r>
        <w:rPr>
          <w:sz w:val="22"/>
          <w:szCs w:val="22"/>
        </w:rPr>
        <w:t xml:space="preserve"> the program’s fee balance at a sustainable rate. </w:t>
      </w:r>
    </w:p>
    <w:p w14:paraId="6A4FACAC" w14:textId="77777777" w:rsidR="00BE6555" w:rsidRDefault="00657BDB" w:rsidP="00092C86">
      <w:pPr>
        <w:mirrorIndents/>
        <w:rPr>
          <w:sz w:val="22"/>
          <w:szCs w:val="22"/>
        </w:rPr>
      </w:pPr>
      <w:r>
        <w:rPr>
          <w:sz w:val="22"/>
          <w:szCs w:val="22"/>
        </w:rPr>
        <w:t>The chart below shows actual and projected revenue and expenditures for current and proposed fees from FY 2019 through FY 2031.</w:t>
      </w:r>
    </w:p>
    <w:p w14:paraId="07DD03E6" w14:textId="7659B3B2" w:rsidR="00092C86" w:rsidRDefault="0B98D969" w:rsidP="00092C86">
      <w:pPr>
        <w:mirrorIndents/>
        <w:rPr>
          <w:sz w:val="22"/>
          <w:szCs w:val="22"/>
        </w:rPr>
      </w:pPr>
      <w:r>
        <w:rPr>
          <w:noProof/>
        </w:rPr>
        <w:lastRenderedPageBreak/>
        <w:drawing>
          <wp:inline distT="0" distB="0" distL="0" distR="0" wp14:anchorId="646A727A" wp14:editId="0B53269B">
            <wp:extent cx="5943600" cy="2249170"/>
            <wp:effectExtent l="0" t="0" r="0" b="0"/>
            <wp:docPr id="1599047678" name="Picture 1" descr="Chart, line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9">
                      <a:extLst>
                        <a:ext uri="{28A0092B-C50C-407E-A947-70E740481C1C}">
                          <a14:useLocalDpi xmlns:a14="http://schemas.microsoft.com/office/drawing/2010/main" val="0"/>
                        </a:ext>
                      </a:extLst>
                    </a:blip>
                    <a:stretch>
                      <a:fillRect/>
                    </a:stretch>
                  </pic:blipFill>
                  <pic:spPr>
                    <a:xfrm>
                      <a:off x="0" y="0"/>
                      <a:ext cx="5943600" cy="2249170"/>
                    </a:xfrm>
                    <a:prstGeom prst="rect">
                      <a:avLst/>
                    </a:prstGeom>
                  </pic:spPr>
                </pic:pic>
              </a:graphicData>
            </a:graphic>
          </wp:inline>
        </w:drawing>
      </w:r>
    </w:p>
    <w:p w14:paraId="353D684F" w14:textId="77777777" w:rsidR="00BE6555" w:rsidRDefault="00BE6555" w:rsidP="2FC1AB7B">
      <w:pPr>
        <w:pStyle w:val="NoSpacing"/>
      </w:pPr>
    </w:p>
    <w:p w14:paraId="6C9B4CA2" w14:textId="77777777" w:rsidR="00BE6555" w:rsidRPr="008C181A" w:rsidRDefault="00BE6555" w:rsidP="00092C86">
      <w:pPr>
        <w:mirrorIndents/>
        <w:rPr>
          <w:vanish/>
          <w:sz w:val="22"/>
          <w:szCs w:val="22"/>
          <w:specVanish/>
        </w:rPr>
      </w:pPr>
    </w:p>
    <w:p w14:paraId="318725F3" w14:textId="7AE7F2E9" w:rsidR="00092C86" w:rsidRDefault="38CE3BCA" w:rsidP="00092C86">
      <w:pPr>
        <w:mirrorIndents/>
        <w:rPr>
          <w:sz w:val="22"/>
          <w:szCs w:val="22"/>
        </w:rPr>
      </w:pPr>
      <w:r w:rsidRPr="26611CF0">
        <w:rPr>
          <w:sz w:val="22"/>
          <w:szCs w:val="22"/>
        </w:rPr>
        <w:t xml:space="preserve">The </w:t>
      </w:r>
      <w:r w:rsidR="3F4352F5" w:rsidRPr="2FC1AB7B">
        <w:rPr>
          <w:sz w:val="22"/>
          <w:szCs w:val="22"/>
        </w:rPr>
        <w:t>D</w:t>
      </w:r>
      <w:r w:rsidR="2CBAD2E7" w:rsidRPr="2FC1AB7B">
        <w:rPr>
          <w:sz w:val="22"/>
          <w:szCs w:val="22"/>
        </w:rPr>
        <w:t>epartment</w:t>
      </w:r>
      <w:r w:rsidRPr="26611CF0">
        <w:rPr>
          <w:sz w:val="22"/>
          <w:szCs w:val="22"/>
        </w:rPr>
        <w:t xml:space="preserve"> will continue to monitor the financial health of the </w:t>
      </w:r>
      <w:r w:rsidR="62F47361" w:rsidRPr="26611CF0">
        <w:rPr>
          <w:sz w:val="22"/>
          <w:szCs w:val="22"/>
        </w:rPr>
        <w:t>Radioactive Waste Site Surveillance</w:t>
      </w:r>
      <w:r w:rsidRPr="26611CF0">
        <w:rPr>
          <w:sz w:val="22"/>
          <w:szCs w:val="22"/>
        </w:rPr>
        <w:t xml:space="preserve"> program over a six-year outlook and propose fee adjustments as needed to comply with statutory requirements.</w:t>
      </w:r>
    </w:p>
    <w:p w14:paraId="238F96A7" w14:textId="77777777" w:rsidR="008E5CB0" w:rsidRDefault="008E5CB0" w:rsidP="00092C86">
      <w:pPr>
        <w:mirrorIndents/>
        <w:rPr>
          <w:sz w:val="22"/>
          <w:szCs w:val="22"/>
        </w:rPr>
      </w:pPr>
    </w:p>
    <w:p w14:paraId="6C9DC9EA" w14:textId="7C581A67" w:rsidR="008E5CB0" w:rsidRDefault="008E5CB0">
      <w:pPr>
        <w:spacing w:after="160" w:line="259" w:lineRule="auto"/>
        <w:rPr>
          <w:sz w:val="22"/>
          <w:szCs w:val="22"/>
        </w:rPr>
      </w:pPr>
      <w:r>
        <w:rPr>
          <w:sz w:val="22"/>
          <w:szCs w:val="22"/>
        </w:rPr>
        <w:br w:type="page"/>
      </w:r>
    </w:p>
    <w:p w14:paraId="3F17E518" w14:textId="672AFA6D" w:rsidR="008E5CB0" w:rsidRPr="00FD257A" w:rsidRDefault="031E44A2" w:rsidP="008E5CB0">
      <w:pPr>
        <w:pStyle w:val="Heading1"/>
        <w:spacing w:before="0"/>
      </w:pPr>
      <w:bookmarkStart w:id="4" w:name="_Toc202861537"/>
      <w:r>
        <w:lastRenderedPageBreak/>
        <w:t>WAC 246-2</w:t>
      </w:r>
      <w:r w:rsidR="001E5239">
        <w:t>5</w:t>
      </w:r>
      <w:r w:rsidR="0B85FEBC">
        <w:t>4</w:t>
      </w:r>
      <w:r>
        <w:t>-</w:t>
      </w:r>
      <w:r w:rsidR="4C7F1DFA">
        <w:t>0</w:t>
      </w:r>
      <w:r w:rsidR="001E5239">
        <w:t>53</w:t>
      </w:r>
      <w:r>
        <w:t xml:space="preserve">, </w:t>
      </w:r>
      <w:r w:rsidR="001E5239">
        <w:t>X-Ray Machine Facilit</w:t>
      </w:r>
      <w:r w:rsidR="00F65C55">
        <w:t>y Program</w:t>
      </w:r>
      <w:bookmarkEnd w:id="4"/>
    </w:p>
    <w:p w14:paraId="12BCAFC6" w14:textId="07D7805A" w:rsidR="008E5CB0" w:rsidRPr="00FD257A" w:rsidRDefault="008E5CB0" w:rsidP="008E5CB0">
      <w:pPr>
        <w:pStyle w:val="NoSpacing"/>
      </w:pPr>
    </w:p>
    <w:p w14:paraId="6BB0018A" w14:textId="77777777" w:rsidR="008E5CB0" w:rsidRPr="00714061" w:rsidRDefault="008E5CB0" w:rsidP="008E5CB0">
      <w:pPr>
        <w:pStyle w:val="Heading2"/>
        <w:spacing w:after="0" w:line="286" w:lineRule="auto"/>
        <w:mirrorIndents/>
        <w:jc w:val="center"/>
        <w:rPr>
          <w:rFonts w:ascii="Times New Roman" w:hAnsi="Times New Roman"/>
          <w:b w:val="0"/>
          <w:bCs w:val="0"/>
          <w:color w:val="auto"/>
          <w:sz w:val="16"/>
          <w:szCs w:val="16"/>
        </w:rPr>
      </w:pPr>
    </w:p>
    <w:p w14:paraId="5A37F754" w14:textId="77777777" w:rsidR="008E5CB0" w:rsidRPr="00A708F8" w:rsidRDefault="008E5CB0" w:rsidP="00A708F8">
      <w:pPr>
        <w:spacing w:after="0"/>
        <w:rPr>
          <w:b/>
          <w:bCs/>
          <w:sz w:val="24"/>
          <w:szCs w:val="24"/>
        </w:rPr>
      </w:pPr>
      <w:r w:rsidRPr="00A708F8">
        <w:rPr>
          <w:b/>
          <w:bCs/>
          <w:sz w:val="24"/>
          <w:szCs w:val="24"/>
        </w:rPr>
        <w:t>Overview</w:t>
      </w:r>
    </w:p>
    <w:p w14:paraId="111F688F" w14:textId="31383D58" w:rsidR="0087604D" w:rsidRDefault="00261476" w:rsidP="2FC1AB7B">
      <w:pPr>
        <w:rPr>
          <w:sz w:val="22"/>
          <w:szCs w:val="22"/>
        </w:rPr>
      </w:pPr>
      <w:r w:rsidRPr="173D2733">
        <w:rPr>
          <w:sz w:val="22"/>
          <w:szCs w:val="22"/>
        </w:rPr>
        <w:t>The Department of Health (</w:t>
      </w:r>
      <w:r w:rsidR="61FDC059">
        <w:rPr>
          <w:sz w:val="22"/>
          <w:szCs w:val="22"/>
        </w:rPr>
        <w:t>D</w:t>
      </w:r>
      <w:r w:rsidR="69653896" w:rsidRPr="173D2733">
        <w:rPr>
          <w:sz w:val="22"/>
          <w:szCs w:val="22"/>
        </w:rPr>
        <w:t>epartment</w:t>
      </w:r>
      <w:r w:rsidRPr="173D2733">
        <w:rPr>
          <w:sz w:val="22"/>
          <w:szCs w:val="22"/>
        </w:rPr>
        <w:t xml:space="preserve">) works to protect and improve the health of all people in Washington state. </w:t>
      </w:r>
      <w:r w:rsidR="009902E7" w:rsidRPr="00591899">
        <w:rPr>
          <w:sz w:val="22"/>
          <w:szCs w:val="22"/>
        </w:rPr>
        <w:t xml:space="preserve">The Office of Radiation Protection provides X-ray registration and inspection, radioactive materials licensing and inspection, radioactive waste management, environmental radiation monitoring, radioactive air emissions licensing and inspection, Hanford Emergency Response and Planning, and implements U.S. Nuclear Regulatory Commission program requirements, including oversight of the state's only nuclear power generating plant, Columbia Generating Station. </w:t>
      </w:r>
      <w:hyperlink r:id="rId30">
        <w:r w:rsidR="009902E7" w:rsidRPr="00591899">
          <w:rPr>
            <w:rStyle w:val="Hyperlink"/>
            <w:sz w:val="22"/>
            <w:szCs w:val="22"/>
          </w:rPr>
          <w:t xml:space="preserve">Chapter 70A.388 RCW, Nuclear Energy and Radiation, </w:t>
        </w:r>
      </w:hyperlink>
      <w:r w:rsidR="009902E7" w:rsidRPr="00297FF3">
        <w:rPr>
          <w:sz w:val="22"/>
          <w:szCs w:val="22"/>
        </w:rPr>
        <w:t>designates t</w:t>
      </w:r>
      <w:r w:rsidR="009902E7" w:rsidRPr="00591899">
        <w:rPr>
          <w:sz w:val="22"/>
          <w:szCs w:val="22"/>
        </w:rPr>
        <w:t xml:space="preserve">he Department as the state radiation control agency and is responsible for overseeing the </w:t>
      </w:r>
      <w:r w:rsidR="69653896" w:rsidRPr="173D2733">
        <w:rPr>
          <w:sz w:val="22"/>
          <w:szCs w:val="22"/>
        </w:rPr>
        <w:t xml:space="preserve">X-ray Machine Facility program. </w:t>
      </w:r>
    </w:p>
    <w:p w14:paraId="18EFAB18" w14:textId="0DFFB814" w:rsidR="0087604D" w:rsidRPr="001714C6" w:rsidRDefault="0087604D" w:rsidP="00261476">
      <w:pPr>
        <w:rPr>
          <w:rFonts w:eastAsia="Calibri"/>
          <w:sz w:val="22"/>
          <w:szCs w:val="22"/>
        </w:rPr>
      </w:pPr>
      <w:r w:rsidRPr="06634E61">
        <w:rPr>
          <w:rFonts w:eastAsia="Calibri"/>
          <w:sz w:val="22"/>
          <w:szCs w:val="22"/>
        </w:rPr>
        <w:t xml:space="preserve">The X-ray </w:t>
      </w:r>
      <w:r w:rsidRPr="173D2733">
        <w:rPr>
          <w:sz w:val="22"/>
          <w:szCs w:val="22"/>
        </w:rPr>
        <w:t>Machine Facility</w:t>
      </w:r>
      <w:r w:rsidRPr="06634E61">
        <w:rPr>
          <w:rFonts w:eastAsia="Calibri"/>
          <w:sz w:val="22"/>
          <w:szCs w:val="22"/>
        </w:rPr>
        <w:t xml:space="preserve"> program consists of 16 staff members that regulate and inspect devices which produce radiation in the forms of X-ray neutrons and protons.</w:t>
      </w:r>
      <w:r w:rsidRPr="06634E61" w:rsidDel="0087604D">
        <w:rPr>
          <w:rFonts w:eastAsia="Calibri"/>
          <w:sz w:val="22"/>
          <w:szCs w:val="22"/>
        </w:rPr>
        <w:t xml:space="preserve"> </w:t>
      </w:r>
      <w:r w:rsidRPr="06634E61">
        <w:rPr>
          <w:rFonts w:eastAsia="Calibri"/>
          <w:sz w:val="22"/>
          <w:szCs w:val="22"/>
        </w:rPr>
        <w:t xml:space="preserve">The physicists in the program routinely conduct onsite inspections to ensure occupational and public safety standards are met. The </w:t>
      </w:r>
      <w:r w:rsidRPr="173D2733">
        <w:rPr>
          <w:sz w:val="22"/>
          <w:szCs w:val="22"/>
        </w:rPr>
        <w:t>Machine Facility</w:t>
      </w:r>
      <w:r w:rsidRPr="06634E61">
        <w:rPr>
          <w:rFonts w:eastAsia="Calibri"/>
          <w:sz w:val="22"/>
          <w:szCs w:val="22"/>
        </w:rPr>
        <w:t xml:space="preserve"> program tracks and maintains patient exposure data to create and compare benchmarks. Various data sets are used to help reduce the amount of radiation received by the public.</w:t>
      </w:r>
    </w:p>
    <w:p w14:paraId="117291DA" w14:textId="2925527C" w:rsidR="0087604D" w:rsidRDefault="0087604D" w:rsidP="0087604D">
      <w:pPr>
        <w:rPr>
          <w:sz w:val="22"/>
          <w:szCs w:val="22"/>
        </w:rPr>
      </w:pPr>
      <w:hyperlink r:id="rId31" w:history="1">
        <w:r w:rsidRPr="00FC3C87">
          <w:rPr>
            <w:rStyle w:val="Hyperlink"/>
            <w:sz w:val="22"/>
            <w:szCs w:val="22"/>
          </w:rPr>
          <w:t>RCW 43.70.110</w:t>
        </w:r>
      </w:hyperlink>
      <w:r>
        <w:rPr>
          <w:sz w:val="22"/>
          <w:szCs w:val="22"/>
        </w:rPr>
        <w:t xml:space="preserve"> and </w:t>
      </w:r>
      <w:hyperlink r:id="rId32" w:history="1">
        <w:r w:rsidRPr="00951788">
          <w:rPr>
            <w:rStyle w:val="Hyperlink"/>
            <w:sz w:val="22"/>
            <w:szCs w:val="22"/>
          </w:rPr>
          <w:t>RCW 43.70.250</w:t>
        </w:r>
      </w:hyperlink>
      <w:r w:rsidRPr="009F69ED">
        <w:rPr>
          <w:sz w:val="22"/>
          <w:szCs w:val="22"/>
        </w:rPr>
        <w:t xml:space="preserve"> authorize the Secretary to establish various fees associated with licensing and regulation of professions, occupations, or businesses. These fees must be set at a level that covers the costs of administering each program or license.</w:t>
      </w:r>
      <w:r>
        <w:rPr>
          <w:sz w:val="22"/>
          <w:szCs w:val="22"/>
        </w:rPr>
        <w:t xml:space="preserve"> </w:t>
      </w:r>
      <w:hyperlink r:id="rId33" w:history="1">
        <w:r w:rsidR="00981E88" w:rsidRPr="00981E88">
          <w:rPr>
            <w:rStyle w:val="Hyperlink"/>
            <w:sz w:val="22"/>
            <w:szCs w:val="22"/>
          </w:rPr>
          <w:t>RCW 43.20B.020</w:t>
        </w:r>
      </w:hyperlink>
      <w:r w:rsidR="00981E88">
        <w:rPr>
          <w:sz w:val="22"/>
          <w:szCs w:val="22"/>
        </w:rPr>
        <w:t xml:space="preserve"> </w:t>
      </w:r>
      <w:r w:rsidR="6F768F8E" w:rsidRPr="2FC1AB7B">
        <w:rPr>
          <w:sz w:val="22"/>
          <w:szCs w:val="22"/>
        </w:rPr>
        <w:t>also permits the Department to charge fees for services.</w:t>
      </w:r>
    </w:p>
    <w:p w14:paraId="0C46F267" w14:textId="2C0A8B48" w:rsidR="00CE23CC" w:rsidRPr="00CE23CC" w:rsidRDefault="00261476" w:rsidP="00CE23CC">
      <w:pPr>
        <w:rPr>
          <w:rFonts w:eastAsia="Calibri"/>
          <w:sz w:val="22"/>
          <w:szCs w:val="22"/>
        </w:rPr>
      </w:pPr>
      <w:r w:rsidRPr="06634E61" w:rsidDel="0087604D">
        <w:rPr>
          <w:rFonts w:eastAsia="Calibri"/>
          <w:sz w:val="22"/>
          <w:szCs w:val="22"/>
        </w:rPr>
        <w:t xml:space="preserve">The </w:t>
      </w:r>
      <w:r w:rsidR="6F768F8E" w:rsidRPr="2FC1AB7B">
        <w:rPr>
          <w:rFonts w:eastAsia="Calibri"/>
          <w:sz w:val="22"/>
          <w:szCs w:val="22"/>
        </w:rPr>
        <w:t>D</w:t>
      </w:r>
      <w:r w:rsidR="73F95861" w:rsidRPr="2FC1AB7B">
        <w:rPr>
          <w:rFonts w:eastAsia="Calibri"/>
          <w:sz w:val="22"/>
          <w:szCs w:val="22"/>
        </w:rPr>
        <w:t>epartment</w:t>
      </w:r>
      <w:r w:rsidR="70A4015B" w:rsidRPr="26611CF0">
        <w:rPr>
          <w:rFonts w:eastAsia="Calibri"/>
          <w:sz w:val="22"/>
          <w:szCs w:val="22"/>
        </w:rPr>
        <w:t xml:space="preserve"> has completed an initial assessment and determined the current fees are not generating sufficient revenue to cover the operating costs over the biennium. Considering the program’s financial forecast, the </w:t>
      </w:r>
      <w:r w:rsidR="6F768F8E" w:rsidRPr="2FC1AB7B">
        <w:rPr>
          <w:rFonts w:eastAsia="Calibri"/>
          <w:sz w:val="22"/>
          <w:szCs w:val="22"/>
        </w:rPr>
        <w:t>D</w:t>
      </w:r>
      <w:r w:rsidR="73F95861" w:rsidRPr="2FC1AB7B">
        <w:rPr>
          <w:rFonts w:eastAsia="Calibri"/>
          <w:sz w:val="22"/>
          <w:szCs w:val="22"/>
        </w:rPr>
        <w:t>epartment</w:t>
      </w:r>
      <w:r w:rsidR="70A4015B" w:rsidRPr="26611CF0">
        <w:rPr>
          <w:rFonts w:eastAsia="Calibri"/>
          <w:sz w:val="22"/>
          <w:szCs w:val="22"/>
        </w:rPr>
        <w:t xml:space="preserve"> recommends a fee adjustment to address cost-of-living adjustments made in the 2025-2027 state budget (ESSB 5167).</w:t>
      </w:r>
    </w:p>
    <w:p w14:paraId="31FCF3F2" w14:textId="20D18779" w:rsidR="00CE23CC" w:rsidRPr="00CE23CC" w:rsidRDefault="00CE23CC" w:rsidP="00CE23CC">
      <w:pPr>
        <w:rPr>
          <w:rFonts w:eastAsia="Calibri"/>
          <w:sz w:val="22"/>
          <w:szCs w:val="22"/>
        </w:rPr>
      </w:pPr>
      <w:r w:rsidRPr="00CE23CC">
        <w:rPr>
          <w:rFonts w:eastAsia="Calibri"/>
          <w:sz w:val="22"/>
          <w:szCs w:val="22"/>
        </w:rPr>
        <w:t>This document summarizes data on revenue, expenditures, financial forecast, and the changes to existing fees.</w:t>
      </w:r>
    </w:p>
    <w:p w14:paraId="06B544F5" w14:textId="77777777" w:rsidR="0087604D" w:rsidRDefault="0087604D" w:rsidP="2FC1AB7B">
      <w:pPr>
        <w:pStyle w:val="NoSpacing"/>
        <w:rPr>
          <w:rFonts w:eastAsia="Calibri"/>
        </w:rPr>
      </w:pPr>
    </w:p>
    <w:p w14:paraId="17F65038" w14:textId="50D140F1" w:rsidR="00CE23CC" w:rsidRPr="00BD173D" w:rsidRDefault="00CE23CC" w:rsidP="00BD173D">
      <w:pPr>
        <w:pStyle w:val="NoSpacing"/>
        <w:rPr>
          <w:rFonts w:eastAsia="Calibri"/>
          <w:b/>
          <w:bCs/>
          <w:sz w:val="24"/>
          <w:szCs w:val="24"/>
        </w:rPr>
      </w:pPr>
      <w:r w:rsidRPr="00BD173D">
        <w:rPr>
          <w:rFonts w:eastAsia="Calibri"/>
          <w:b/>
          <w:bCs/>
          <w:sz w:val="24"/>
          <w:szCs w:val="24"/>
        </w:rPr>
        <w:t>Current Financial Status</w:t>
      </w:r>
    </w:p>
    <w:p w14:paraId="415458EA" w14:textId="5BE3D848" w:rsidR="00AA4AD8" w:rsidRPr="00AA4AD8" w:rsidRDefault="00261476" w:rsidP="00AA4AD8">
      <w:pPr>
        <w:rPr>
          <w:color w:val="auto"/>
          <w:sz w:val="22"/>
          <w:szCs w:val="22"/>
        </w:rPr>
      </w:pPr>
      <w:r w:rsidRPr="6090419E">
        <w:rPr>
          <w:sz w:val="22"/>
          <w:szCs w:val="22"/>
        </w:rPr>
        <w:t xml:space="preserve">The </w:t>
      </w:r>
      <w:r w:rsidR="0087604D">
        <w:rPr>
          <w:sz w:val="22"/>
          <w:szCs w:val="22"/>
        </w:rPr>
        <w:t xml:space="preserve">Department’s </w:t>
      </w:r>
      <w:r w:rsidR="008549D3">
        <w:rPr>
          <w:sz w:val="22"/>
          <w:szCs w:val="22"/>
        </w:rPr>
        <w:t xml:space="preserve">X-ray </w:t>
      </w:r>
      <w:r w:rsidR="0087604D" w:rsidRPr="173D2733">
        <w:rPr>
          <w:sz w:val="22"/>
          <w:szCs w:val="22"/>
        </w:rPr>
        <w:t>Machine Facility</w:t>
      </w:r>
      <w:r w:rsidR="0087604D" w:rsidRPr="6090419E">
        <w:rPr>
          <w:sz w:val="22"/>
          <w:szCs w:val="22"/>
        </w:rPr>
        <w:t xml:space="preserve"> </w:t>
      </w:r>
      <w:r w:rsidRPr="6090419E">
        <w:rPr>
          <w:sz w:val="22"/>
          <w:szCs w:val="22"/>
        </w:rPr>
        <w:t>program ended fiscal year (FY) 202</w:t>
      </w:r>
      <w:r w:rsidR="00934C6F">
        <w:rPr>
          <w:sz w:val="22"/>
          <w:szCs w:val="22"/>
        </w:rPr>
        <w:t>4</w:t>
      </w:r>
      <w:r w:rsidRPr="6090419E">
        <w:rPr>
          <w:sz w:val="22"/>
          <w:szCs w:val="22"/>
        </w:rPr>
        <w:t xml:space="preserve"> with a fee balance of </w:t>
      </w:r>
      <w:r w:rsidRPr="6090419E">
        <w:rPr>
          <w:color w:val="auto"/>
          <w:sz w:val="22"/>
          <w:szCs w:val="22"/>
        </w:rPr>
        <w:t>$</w:t>
      </w:r>
      <w:r w:rsidR="00157A63">
        <w:rPr>
          <w:color w:val="auto"/>
          <w:sz w:val="22"/>
          <w:szCs w:val="22"/>
        </w:rPr>
        <w:t>750</w:t>
      </w:r>
      <w:r w:rsidRPr="6090419E">
        <w:rPr>
          <w:color w:val="auto"/>
          <w:sz w:val="22"/>
          <w:szCs w:val="22"/>
        </w:rPr>
        <w:t>,</w:t>
      </w:r>
      <w:r w:rsidR="00157A63">
        <w:rPr>
          <w:color w:val="auto"/>
          <w:sz w:val="22"/>
          <w:szCs w:val="22"/>
        </w:rPr>
        <w:t>686</w:t>
      </w:r>
      <w:r w:rsidRPr="6090419E">
        <w:rPr>
          <w:color w:val="auto"/>
          <w:sz w:val="22"/>
          <w:szCs w:val="22"/>
        </w:rPr>
        <w:t>. The fee balance is currently operating at a surplus and will cover program revenue deficits for FY 202</w:t>
      </w:r>
      <w:r w:rsidR="00B004AF">
        <w:rPr>
          <w:color w:val="auto"/>
          <w:sz w:val="22"/>
          <w:szCs w:val="22"/>
        </w:rPr>
        <w:t>5</w:t>
      </w:r>
      <w:r w:rsidRPr="6090419E">
        <w:rPr>
          <w:color w:val="auto"/>
          <w:sz w:val="22"/>
          <w:szCs w:val="22"/>
        </w:rPr>
        <w:t xml:space="preserve">. The fee balance was generated due to the program having a high personnel vacancy rate. The program operated with 3-4 positions being vacant over the period of the past six years. This surplus </w:t>
      </w:r>
      <w:r w:rsidR="00D7765F">
        <w:rPr>
          <w:color w:val="auto"/>
          <w:sz w:val="22"/>
          <w:szCs w:val="22"/>
        </w:rPr>
        <w:t>fell</w:t>
      </w:r>
      <w:r w:rsidRPr="6090419E">
        <w:rPr>
          <w:color w:val="auto"/>
          <w:sz w:val="22"/>
          <w:szCs w:val="22"/>
        </w:rPr>
        <w:t xml:space="preserve"> below the recommended reserve balance in FY 2023. The program costs are projected to exceed revenue received in FY 202</w:t>
      </w:r>
      <w:r w:rsidR="002276BA">
        <w:rPr>
          <w:color w:val="auto"/>
          <w:sz w:val="22"/>
          <w:szCs w:val="22"/>
        </w:rPr>
        <w:t>5</w:t>
      </w:r>
      <w:r w:rsidRPr="6090419E">
        <w:rPr>
          <w:color w:val="auto"/>
          <w:sz w:val="22"/>
          <w:szCs w:val="22"/>
        </w:rPr>
        <w:t xml:space="preserve"> by $</w:t>
      </w:r>
      <w:r w:rsidR="002276BA">
        <w:rPr>
          <w:color w:val="auto"/>
          <w:sz w:val="22"/>
          <w:szCs w:val="22"/>
        </w:rPr>
        <w:t>78,868</w:t>
      </w:r>
      <w:r w:rsidRPr="6090419E">
        <w:rPr>
          <w:color w:val="auto"/>
          <w:sz w:val="22"/>
          <w:szCs w:val="22"/>
        </w:rPr>
        <w:t xml:space="preserve"> and continue exceeding revenue in each future fiscal year.  </w:t>
      </w:r>
    </w:p>
    <w:p w14:paraId="08EBF7EF" w14:textId="77777777" w:rsidR="00103C7B" w:rsidRDefault="00103C7B" w:rsidP="00103C7B">
      <w:pPr>
        <w:pStyle w:val="NoSpacing"/>
      </w:pPr>
    </w:p>
    <w:p w14:paraId="311B81FB" w14:textId="77777777" w:rsidR="00103C7B" w:rsidRDefault="00103C7B" w:rsidP="00103C7B">
      <w:pPr>
        <w:pStyle w:val="NoSpacing"/>
      </w:pPr>
    </w:p>
    <w:p w14:paraId="13195BED" w14:textId="77777777" w:rsidR="00103C7B" w:rsidRDefault="00103C7B" w:rsidP="00103C7B">
      <w:pPr>
        <w:pStyle w:val="NoSpacing"/>
      </w:pPr>
    </w:p>
    <w:p w14:paraId="4385DD6E" w14:textId="77777777" w:rsidR="00103C7B" w:rsidRDefault="00103C7B" w:rsidP="00103C7B">
      <w:pPr>
        <w:pStyle w:val="NoSpacing"/>
      </w:pPr>
    </w:p>
    <w:p w14:paraId="118B9A68" w14:textId="6C9E1DD9" w:rsidR="008E5CB0" w:rsidRPr="00A708F8" w:rsidRDefault="008E5CB0" w:rsidP="00A708F8">
      <w:pPr>
        <w:spacing w:after="0"/>
        <w:rPr>
          <w:b/>
          <w:bCs/>
          <w:sz w:val="24"/>
          <w:szCs w:val="24"/>
        </w:rPr>
      </w:pPr>
      <w:r w:rsidRPr="00A708F8">
        <w:rPr>
          <w:b/>
          <w:bCs/>
          <w:sz w:val="24"/>
          <w:szCs w:val="24"/>
        </w:rPr>
        <w:lastRenderedPageBreak/>
        <w:t>Revenue</w:t>
      </w:r>
    </w:p>
    <w:p w14:paraId="2125C049" w14:textId="25168411" w:rsidR="00560B3E" w:rsidRDefault="00560B3E" w:rsidP="00560B3E">
      <w:pPr>
        <w:mirrorIndents/>
        <w:rPr>
          <w:sz w:val="22"/>
          <w:szCs w:val="22"/>
        </w:rPr>
      </w:pPr>
      <w:r w:rsidRPr="173D2733">
        <w:rPr>
          <w:sz w:val="22"/>
          <w:szCs w:val="22"/>
        </w:rPr>
        <w:t xml:space="preserve">The </w:t>
      </w:r>
      <w:r w:rsidR="50CE71B9" w:rsidRPr="2FC1AB7B">
        <w:rPr>
          <w:sz w:val="22"/>
          <w:szCs w:val="22"/>
        </w:rPr>
        <w:t>D</w:t>
      </w:r>
      <w:r w:rsidR="0392027D" w:rsidRPr="2FC1AB7B">
        <w:rPr>
          <w:sz w:val="22"/>
          <w:szCs w:val="22"/>
        </w:rPr>
        <w:t>epartment</w:t>
      </w:r>
      <w:r w:rsidRPr="173D2733">
        <w:rPr>
          <w:sz w:val="22"/>
          <w:szCs w:val="22"/>
        </w:rPr>
        <w:t xml:space="preserve"> currently licenses X-ray </w:t>
      </w:r>
      <w:r w:rsidR="50CE71B9" w:rsidRPr="2FC1AB7B">
        <w:rPr>
          <w:sz w:val="22"/>
          <w:szCs w:val="22"/>
        </w:rPr>
        <w:t>m</w:t>
      </w:r>
      <w:r w:rsidR="0392027D" w:rsidRPr="2FC1AB7B">
        <w:rPr>
          <w:sz w:val="22"/>
          <w:szCs w:val="22"/>
        </w:rPr>
        <w:t xml:space="preserve">achine </w:t>
      </w:r>
      <w:r w:rsidR="236DAB0B" w:rsidRPr="2FC1AB7B">
        <w:rPr>
          <w:sz w:val="22"/>
          <w:szCs w:val="22"/>
        </w:rPr>
        <w:t>f</w:t>
      </w:r>
      <w:r w:rsidR="0392027D" w:rsidRPr="2FC1AB7B">
        <w:rPr>
          <w:sz w:val="22"/>
          <w:szCs w:val="22"/>
        </w:rPr>
        <w:t xml:space="preserve">acilities </w:t>
      </w:r>
      <w:r w:rsidRPr="173D2733">
        <w:rPr>
          <w:sz w:val="22"/>
          <w:szCs w:val="22"/>
        </w:rPr>
        <w:t>and completes radiation shielding plan reviews in Washington state (</w:t>
      </w:r>
      <w:hyperlink r:id="rId34">
        <w:r w:rsidRPr="173D2733">
          <w:rPr>
            <w:rStyle w:val="Hyperlink"/>
            <w:sz w:val="22"/>
            <w:szCs w:val="22"/>
          </w:rPr>
          <w:t>RCW70A.388.010, 040 &amp; 050</w:t>
        </w:r>
      </w:hyperlink>
      <w:r w:rsidRPr="173D2733">
        <w:rPr>
          <w:sz w:val="22"/>
          <w:szCs w:val="22"/>
        </w:rPr>
        <w:t xml:space="preserve">). The </w:t>
      </w:r>
      <w:r w:rsidR="00981E88">
        <w:rPr>
          <w:sz w:val="22"/>
          <w:szCs w:val="22"/>
        </w:rPr>
        <w:t xml:space="preserve">X-ray </w:t>
      </w:r>
      <w:r w:rsidR="00981E88" w:rsidRPr="173D2733">
        <w:rPr>
          <w:sz w:val="22"/>
          <w:szCs w:val="22"/>
        </w:rPr>
        <w:t>Machine Facility</w:t>
      </w:r>
      <w:r w:rsidR="00981E88" w:rsidRPr="6090419E">
        <w:rPr>
          <w:sz w:val="22"/>
          <w:szCs w:val="22"/>
        </w:rPr>
        <w:t xml:space="preserve"> </w:t>
      </w:r>
      <w:r w:rsidRPr="173D2733">
        <w:rPr>
          <w:sz w:val="22"/>
          <w:szCs w:val="22"/>
        </w:rPr>
        <w:t xml:space="preserve">program currently regulates over 6,400 X-ray machine facilities with over 22,000 machines. Over the past four years the program reviewed an average of 155 shielding plan reviews annually.  </w:t>
      </w:r>
    </w:p>
    <w:p w14:paraId="50C20358" w14:textId="3B51983E" w:rsidR="00E81C53" w:rsidRDefault="00560B3E" w:rsidP="2FC1AB7B">
      <w:pPr>
        <w:mirrorIndents/>
        <w:rPr>
          <w:sz w:val="22"/>
          <w:szCs w:val="22"/>
        </w:rPr>
      </w:pPr>
      <w:r w:rsidRPr="415BA8BD">
        <w:rPr>
          <w:sz w:val="22"/>
          <w:szCs w:val="22"/>
        </w:rPr>
        <w:t xml:space="preserve">The X-ray </w:t>
      </w:r>
      <w:r w:rsidR="00006303" w:rsidRPr="173D2733">
        <w:rPr>
          <w:sz w:val="22"/>
          <w:szCs w:val="22"/>
        </w:rPr>
        <w:t>Machine Facility</w:t>
      </w:r>
      <w:r w:rsidR="00006303" w:rsidRPr="415BA8BD">
        <w:rPr>
          <w:sz w:val="22"/>
          <w:szCs w:val="22"/>
        </w:rPr>
        <w:t xml:space="preserve"> </w:t>
      </w:r>
      <w:r w:rsidRPr="415BA8BD">
        <w:rPr>
          <w:sz w:val="22"/>
          <w:szCs w:val="22"/>
        </w:rPr>
        <w:t xml:space="preserve">program also receives annual funding from the Food and Drug Administration Mammography Program to cover the costs of mammography inspections. As a result of this funding, these costs are not included in this fee rate setting process.     </w:t>
      </w:r>
    </w:p>
    <w:p w14:paraId="365C0F76" w14:textId="04C9E77B" w:rsidR="00E81C53" w:rsidRDefault="008E5CB0" w:rsidP="00E81C53">
      <w:pPr>
        <w:spacing w:after="0"/>
        <w:rPr>
          <w:b/>
          <w:bCs/>
          <w:sz w:val="24"/>
          <w:szCs w:val="24"/>
        </w:rPr>
      </w:pPr>
      <w:r w:rsidRPr="00A708F8">
        <w:rPr>
          <w:b/>
          <w:bCs/>
          <w:sz w:val="24"/>
          <w:szCs w:val="24"/>
        </w:rPr>
        <w:t>Fees</w:t>
      </w:r>
    </w:p>
    <w:p w14:paraId="228BD42F" w14:textId="6BD551B2" w:rsidR="008E5CB0" w:rsidRPr="00E81C53" w:rsidRDefault="004F69DF" w:rsidP="00E81C53">
      <w:pPr>
        <w:spacing w:after="0"/>
        <w:rPr>
          <w:b/>
          <w:bCs/>
          <w:sz w:val="24"/>
          <w:szCs w:val="24"/>
        </w:rPr>
      </w:pPr>
      <w:r w:rsidRPr="173D2733">
        <w:rPr>
          <w:sz w:val="22"/>
          <w:szCs w:val="22"/>
        </w:rPr>
        <w:t xml:space="preserve">Annual machine facility and tube fees are received throughout the year on the individual machine facility renewal date. Plan review fees are received as plans are submitted for review. Revenue remained consistent over the past six years with a small overall decrease of 3%. All fees are listed in </w:t>
      </w:r>
      <w:hyperlink r:id="rId35">
        <w:r w:rsidRPr="173D2733">
          <w:rPr>
            <w:rStyle w:val="Hyperlink"/>
            <w:sz w:val="22"/>
            <w:szCs w:val="22"/>
          </w:rPr>
          <w:t>WAC 246-254-053</w:t>
        </w:r>
      </w:hyperlink>
      <w:r w:rsidRPr="173D2733">
        <w:rPr>
          <w:sz w:val="22"/>
          <w:szCs w:val="22"/>
        </w:rPr>
        <w:t>. The last fee change</w:t>
      </w:r>
      <w:r w:rsidR="00CE23CC">
        <w:rPr>
          <w:sz w:val="22"/>
          <w:szCs w:val="22"/>
        </w:rPr>
        <w:t xml:space="preserve">s </w:t>
      </w:r>
      <w:r w:rsidR="005C22E7">
        <w:rPr>
          <w:sz w:val="22"/>
          <w:szCs w:val="22"/>
        </w:rPr>
        <w:t>occurred in 2023 to</w:t>
      </w:r>
      <w:r w:rsidR="00472F58">
        <w:rPr>
          <w:sz w:val="22"/>
          <w:szCs w:val="22"/>
        </w:rPr>
        <w:t xml:space="preserve"> </w:t>
      </w:r>
      <w:r w:rsidR="00165368">
        <w:rPr>
          <w:sz w:val="22"/>
          <w:szCs w:val="22"/>
        </w:rPr>
        <w:t>address the deficit in revenue to cover expenditures and sustain the</w:t>
      </w:r>
      <w:r w:rsidR="005C22E7">
        <w:rPr>
          <w:sz w:val="22"/>
          <w:szCs w:val="22"/>
        </w:rPr>
        <w:t xml:space="preserve"> </w:t>
      </w:r>
      <w:r w:rsidR="00165368">
        <w:rPr>
          <w:sz w:val="22"/>
          <w:szCs w:val="22"/>
        </w:rPr>
        <w:t>program’s recommended reserve balance.</w:t>
      </w:r>
    </w:p>
    <w:p w14:paraId="3CC3250C" w14:textId="77777777" w:rsidR="00006303" w:rsidRDefault="00006303" w:rsidP="2FC1AB7B">
      <w:pPr>
        <w:pStyle w:val="NoSpacing"/>
      </w:pPr>
    </w:p>
    <w:p w14:paraId="6957C1CC" w14:textId="77777777" w:rsidR="008E5CB0" w:rsidRPr="00A708F8" w:rsidRDefault="008E5CB0" w:rsidP="00A708F8">
      <w:pPr>
        <w:spacing w:after="0"/>
        <w:rPr>
          <w:b/>
          <w:bCs/>
          <w:sz w:val="24"/>
          <w:szCs w:val="24"/>
        </w:rPr>
      </w:pPr>
      <w:r w:rsidRPr="00A708F8">
        <w:rPr>
          <w:b/>
          <w:bCs/>
          <w:sz w:val="24"/>
          <w:szCs w:val="24"/>
        </w:rPr>
        <w:t>Expenditures</w:t>
      </w:r>
    </w:p>
    <w:p w14:paraId="262B9F63" w14:textId="746E2DDD" w:rsidR="007F3F72" w:rsidRDefault="007F3F72" w:rsidP="007F3F72">
      <w:pPr>
        <w:mirrorIndents/>
        <w:rPr>
          <w:sz w:val="22"/>
          <w:szCs w:val="22"/>
        </w:rPr>
      </w:pPr>
      <w:r w:rsidRPr="00427624">
        <w:rPr>
          <w:sz w:val="22"/>
          <w:szCs w:val="22"/>
        </w:rPr>
        <w:t xml:space="preserve">Costs for the </w:t>
      </w:r>
      <w:r w:rsidR="00006303">
        <w:rPr>
          <w:sz w:val="22"/>
          <w:szCs w:val="22"/>
        </w:rPr>
        <w:t xml:space="preserve">Department’s X-ray </w:t>
      </w:r>
      <w:r w:rsidR="00006303" w:rsidRPr="173D2733">
        <w:rPr>
          <w:sz w:val="22"/>
          <w:szCs w:val="22"/>
        </w:rPr>
        <w:t>Machine Facility</w:t>
      </w:r>
      <w:r w:rsidR="00006303" w:rsidRPr="6090419E">
        <w:rPr>
          <w:sz w:val="22"/>
          <w:szCs w:val="22"/>
        </w:rPr>
        <w:t xml:space="preserve"> </w:t>
      </w:r>
      <w:r w:rsidRPr="00427624">
        <w:rPr>
          <w:sz w:val="22"/>
          <w:szCs w:val="22"/>
        </w:rPr>
        <w:t xml:space="preserve">program </w:t>
      </w:r>
      <w:r>
        <w:rPr>
          <w:sz w:val="22"/>
          <w:szCs w:val="22"/>
        </w:rPr>
        <w:t xml:space="preserve">are </w:t>
      </w:r>
      <w:r w:rsidRPr="00427624">
        <w:rPr>
          <w:sz w:val="22"/>
          <w:szCs w:val="22"/>
        </w:rPr>
        <w:t xml:space="preserve">classified into </w:t>
      </w:r>
      <w:r>
        <w:rPr>
          <w:sz w:val="22"/>
          <w:szCs w:val="22"/>
        </w:rPr>
        <w:t xml:space="preserve">three </w:t>
      </w:r>
      <w:r w:rsidRPr="00427624">
        <w:rPr>
          <w:sz w:val="22"/>
          <w:szCs w:val="22"/>
        </w:rPr>
        <w:t>primary categories: Operations (</w:t>
      </w:r>
      <w:r>
        <w:rPr>
          <w:sz w:val="22"/>
          <w:szCs w:val="22"/>
        </w:rPr>
        <w:t>75</w:t>
      </w:r>
      <w:r w:rsidRPr="00427624">
        <w:rPr>
          <w:sz w:val="22"/>
          <w:szCs w:val="22"/>
        </w:rPr>
        <w:t xml:space="preserve">%), </w:t>
      </w:r>
      <w:r>
        <w:rPr>
          <w:sz w:val="22"/>
          <w:szCs w:val="22"/>
        </w:rPr>
        <w:t>Health Technology Solutions (HTS)</w:t>
      </w:r>
      <w:r w:rsidRPr="00427624">
        <w:rPr>
          <w:sz w:val="22"/>
          <w:szCs w:val="22"/>
        </w:rPr>
        <w:t xml:space="preserve"> (</w:t>
      </w:r>
      <w:r>
        <w:rPr>
          <w:sz w:val="22"/>
          <w:szCs w:val="22"/>
        </w:rPr>
        <w:t>5</w:t>
      </w:r>
      <w:r w:rsidRPr="00427624">
        <w:rPr>
          <w:sz w:val="22"/>
          <w:szCs w:val="22"/>
        </w:rPr>
        <w:t xml:space="preserve">%), </w:t>
      </w:r>
      <w:r>
        <w:rPr>
          <w:sz w:val="22"/>
          <w:szCs w:val="22"/>
        </w:rPr>
        <w:t xml:space="preserve">and indirect (20%). </w:t>
      </w:r>
      <w:r w:rsidR="2A18BF1D">
        <w:rPr>
          <w:noProof/>
        </w:rPr>
        <w:drawing>
          <wp:inline distT="0" distB="0" distL="0" distR="0" wp14:anchorId="5E4E7C11" wp14:editId="3D3C9DBA">
            <wp:extent cx="5943600" cy="1261745"/>
            <wp:effectExtent l="0" t="0" r="0" b="0"/>
            <wp:docPr id="1455577385"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6">
                      <a:extLst>
                        <a:ext uri="{28A0092B-C50C-407E-A947-70E740481C1C}">
                          <a14:useLocalDpi xmlns:a14="http://schemas.microsoft.com/office/drawing/2010/main" val="0"/>
                        </a:ext>
                      </a:extLst>
                    </a:blip>
                    <a:stretch>
                      <a:fillRect/>
                    </a:stretch>
                  </pic:blipFill>
                  <pic:spPr>
                    <a:xfrm>
                      <a:off x="0" y="0"/>
                      <a:ext cx="5943600" cy="1261745"/>
                    </a:xfrm>
                    <a:prstGeom prst="rect">
                      <a:avLst/>
                    </a:prstGeom>
                  </pic:spPr>
                </pic:pic>
              </a:graphicData>
            </a:graphic>
          </wp:inline>
        </w:drawing>
      </w:r>
    </w:p>
    <w:p w14:paraId="2C6BB6BD" w14:textId="77777777" w:rsidR="00006303" w:rsidRDefault="00006303" w:rsidP="2FC1AB7B">
      <w:pPr>
        <w:pStyle w:val="NoSpacing"/>
      </w:pPr>
    </w:p>
    <w:p w14:paraId="0CF21186" w14:textId="77777777" w:rsidR="00E81C53" w:rsidRDefault="008E5CB0" w:rsidP="00660D86">
      <w:pPr>
        <w:spacing w:after="0" w:line="286" w:lineRule="auto"/>
        <w:rPr>
          <w:b/>
          <w:bCs/>
          <w:sz w:val="24"/>
          <w:szCs w:val="24"/>
        </w:rPr>
      </w:pPr>
      <w:r w:rsidRPr="00647276">
        <w:rPr>
          <w:b/>
          <w:bCs/>
          <w:sz w:val="24"/>
          <w:szCs w:val="24"/>
        </w:rPr>
        <w:t>Financial Forecast</w:t>
      </w:r>
    </w:p>
    <w:p w14:paraId="25FC3170" w14:textId="77777777" w:rsidR="00660D86" w:rsidRDefault="008E5CB0" w:rsidP="00660D86">
      <w:pPr>
        <w:spacing w:after="0" w:line="286" w:lineRule="auto"/>
        <w:rPr>
          <w:b/>
          <w:bCs/>
          <w:sz w:val="24"/>
          <w:szCs w:val="24"/>
        </w:rPr>
      </w:pPr>
      <w:r w:rsidRPr="00647276">
        <w:rPr>
          <w:b/>
          <w:bCs/>
          <w:sz w:val="22"/>
          <w:szCs w:val="22"/>
        </w:rPr>
        <w:t>Revenue</w:t>
      </w:r>
    </w:p>
    <w:p w14:paraId="41A36A0D" w14:textId="68A079AD" w:rsidR="008E5CB0" w:rsidRPr="00660D86" w:rsidRDefault="00D87288" w:rsidP="00660D86">
      <w:pPr>
        <w:rPr>
          <w:b/>
          <w:bCs/>
          <w:sz w:val="24"/>
          <w:szCs w:val="24"/>
        </w:rPr>
      </w:pPr>
      <w:r w:rsidRPr="2004BA13">
        <w:rPr>
          <w:sz w:val="22"/>
          <w:szCs w:val="22"/>
        </w:rPr>
        <w:t xml:space="preserve">The </w:t>
      </w:r>
      <w:r w:rsidR="236DAB0B" w:rsidRPr="2FC1AB7B">
        <w:rPr>
          <w:sz w:val="22"/>
          <w:szCs w:val="22"/>
        </w:rPr>
        <w:t>D</w:t>
      </w:r>
      <w:r w:rsidR="2DE68A66" w:rsidRPr="2FC1AB7B">
        <w:rPr>
          <w:sz w:val="22"/>
          <w:szCs w:val="22"/>
        </w:rPr>
        <w:t>epartment</w:t>
      </w:r>
      <w:r w:rsidRPr="2004BA13">
        <w:rPr>
          <w:sz w:val="22"/>
          <w:szCs w:val="22"/>
        </w:rPr>
        <w:t xml:space="preserve"> does not anticipate any growth in facilities or machines over the next five years. Facilities are projected to continue renewing at an average renewal rate of 100 percent.</w:t>
      </w:r>
      <w:r w:rsidRPr="2004BA13" w:rsidDel="00006303">
        <w:rPr>
          <w:sz w:val="22"/>
          <w:szCs w:val="22"/>
        </w:rPr>
        <w:t xml:space="preserve"> </w:t>
      </w:r>
      <w:r w:rsidRPr="2004BA13">
        <w:rPr>
          <w:sz w:val="22"/>
          <w:szCs w:val="22"/>
        </w:rPr>
        <w:t xml:space="preserve">This rate assumes a </w:t>
      </w:r>
      <w:r>
        <w:rPr>
          <w:sz w:val="22"/>
          <w:szCs w:val="22"/>
        </w:rPr>
        <w:t xml:space="preserve">small </w:t>
      </w:r>
      <w:r w:rsidRPr="2004BA13">
        <w:rPr>
          <w:sz w:val="22"/>
          <w:szCs w:val="22"/>
        </w:rPr>
        <w:t xml:space="preserve">decrease in current facilities operations as well as the addition of a comparable number of new facilities. </w:t>
      </w:r>
    </w:p>
    <w:p w14:paraId="352858FA" w14:textId="77777777" w:rsidR="008E5CB0" w:rsidRPr="00647276" w:rsidRDefault="008E5CB0" w:rsidP="00647276">
      <w:pPr>
        <w:spacing w:after="0"/>
        <w:rPr>
          <w:b/>
          <w:bCs/>
          <w:sz w:val="22"/>
          <w:szCs w:val="22"/>
        </w:rPr>
      </w:pPr>
      <w:r w:rsidRPr="00647276">
        <w:rPr>
          <w:b/>
          <w:bCs/>
          <w:sz w:val="22"/>
          <w:szCs w:val="22"/>
        </w:rPr>
        <w:t>Expenditures</w:t>
      </w:r>
    </w:p>
    <w:p w14:paraId="67EA4A02" w14:textId="6BAD584A" w:rsidR="008E5CB0" w:rsidRDefault="007C3EDE" w:rsidP="008E5CB0">
      <w:pPr>
        <w:widowControl w:val="0"/>
        <w:spacing w:line="286" w:lineRule="auto"/>
        <w:mirrorIndents/>
      </w:pPr>
      <w:r w:rsidRPr="4E3FC84D">
        <w:rPr>
          <w:rFonts w:eastAsia="Calibri"/>
          <w:color w:val="000000" w:themeColor="text1"/>
          <w:sz w:val="22"/>
          <w:szCs w:val="22"/>
        </w:rPr>
        <w:t xml:space="preserve">The </w:t>
      </w:r>
      <w:r w:rsidR="7C334796" w:rsidRPr="2FC1AB7B">
        <w:rPr>
          <w:rFonts w:eastAsia="Calibri"/>
          <w:color w:val="000000" w:themeColor="text1"/>
          <w:sz w:val="22"/>
          <w:szCs w:val="22"/>
        </w:rPr>
        <w:t>D</w:t>
      </w:r>
      <w:r w:rsidR="753A43F0" w:rsidRPr="2FC1AB7B">
        <w:rPr>
          <w:rFonts w:eastAsia="Calibri"/>
          <w:color w:val="000000" w:themeColor="text1"/>
          <w:sz w:val="22"/>
          <w:szCs w:val="22"/>
        </w:rPr>
        <w:t>epartment</w:t>
      </w:r>
      <w:r w:rsidRPr="4E3FC84D">
        <w:rPr>
          <w:rFonts w:eastAsia="Calibri"/>
          <w:color w:val="000000" w:themeColor="text1"/>
          <w:sz w:val="22"/>
          <w:szCs w:val="22"/>
        </w:rPr>
        <w:t xml:space="preserve"> anticipates costs for the </w:t>
      </w:r>
      <w:r w:rsidR="007351A4">
        <w:rPr>
          <w:sz w:val="22"/>
          <w:szCs w:val="22"/>
        </w:rPr>
        <w:t xml:space="preserve">X-ray </w:t>
      </w:r>
      <w:r w:rsidR="007351A4" w:rsidRPr="173D2733">
        <w:rPr>
          <w:sz w:val="22"/>
          <w:szCs w:val="22"/>
        </w:rPr>
        <w:t>Machine Facility</w:t>
      </w:r>
      <w:r w:rsidR="007351A4" w:rsidRPr="6090419E">
        <w:rPr>
          <w:sz w:val="22"/>
          <w:szCs w:val="22"/>
        </w:rPr>
        <w:t xml:space="preserve"> </w:t>
      </w:r>
      <w:r w:rsidRPr="4E3FC84D">
        <w:rPr>
          <w:rFonts w:eastAsia="Calibri"/>
          <w:color w:val="000000" w:themeColor="text1"/>
          <w:sz w:val="22"/>
          <w:szCs w:val="22"/>
        </w:rPr>
        <w:t>program personnel to increase by three percent annually. Cost increases are primarily due to inflati</w:t>
      </w:r>
      <w:r w:rsidRPr="00981E88">
        <w:rPr>
          <w:rFonts w:eastAsia="Calibri"/>
          <w:color w:val="000000" w:themeColor="text1"/>
          <w:sz w:val="22"/>
          <w:szCs w:val="22"/>
        </w:rPr>
        <w:t xml:space="preserve">on for personnel-related costs. </w:t>
      </w:r>
      <w:r w:rsidR="008D37A4" w:rsidRPr="00981E88">
        <w:rPr>
          <w:noProof/>
          <w:sz w:val="22"/>
          <w:szCs w:val="22"/>
        </w:rPr>
        <w:t xml:space="preserve">The program needs </w:t>
      </w:r>
      <w:r w:rsidR="008D37A4" w:rsidRPr="00981E88">
        <w:rPr>
          <w:sz w:val="22"/>
          <w:szCs w:val="22"/>
        </w:rPr>
        <w:t xml:space="preserve">a fee </w:t>
      </w:r>
      <w:r w:rsidR="008D37A4" w:rsidRPr="00444F35">
        <w:rPr>
          <w:sz w:val="22"/>
          <w:szCs w:val="22"/>
        </w:rPr>
        <w:t xml:space="preserve">adjustment to address </w:t>
      </w:r>
      <w:r w:rsidR="008D37A4">
        <w:rPr>
          <w:sz w:val="22"/>
          <w:szCs w:val="22"/>
        </w:rPr>
        <w:t xml:space="preserve">the </w:t>
      </w:r>
      <w:r w:rsidR="008D37A4" w:rsidRPr="00444F35">
        <w:rPr>
          <w:sz w:val="22"/>
          <w:szCs w:val="22"/>
        </w:rPr>
        <w:t>cost-of-living adjustments made in the 2025-2027 state budget (ESSB 5167).</w:t>
      </w:r>
    </w:p>
    <w:p w14:paraId="22260ABE" w14:textId="77777777" w:rsidR="008E5CB0" w:rsidRPr="00647276" w:rsidRDefault="008E5CB0" w:rsidP="00647276">
      <w:pPr>
        <w:spacing w:after="0"/>
        <w:rPr>
          <w:b/>
          <w:bCs/>
          <w:sz w:val="22"/>
          <w:szCs w:val="22"/>
        </w:rPr>
      </w:pPr>
      <w:r w:rsidRPr="00647276">
        <w:rPr>
          <w:b/>
          <w:bCs/>
          <w:sz w:val="22"/>
          <w:szCs w:val="22"/>
        </w:rPr>
        <w:t>Fee Reserve</w:t>
      </w:r>
    </w:p>
    <w:p w14:paraId="4002D37A" w14:textId="5BB053EE" w:rsidR="008E5CB0" w:rsidRDefault="008E5CB0" w:rsidP="004A123F">
      <w:pPr>
        <w:widowControl w:val="0"/>
        <w:spacing w:line="286" w:lineRule="auto"/>
        <w:mirrorIndents/>
        <w:rPr>
          <w:sz w:val="22"/>
          <w:szCs w:val="22"/>
        </w:rPr>
      </w:pPr>
      <w:r>
        <w:rPr>
          <w:sz w:val="22"/>
          <w:szCs w:val="22"/>
        </w:rPr>
        <w:t xml:space="preserve">The </w:t>
      </w:r>
      <w:r w:rsidR="00BE02E4">
        <w:rPr>
          <w:sz w:val="22"/>
          <w:szCs w:val="22"/>
        </w:rPr>
        <w:t xml:space="preserve">X-ray </w:t>
      </w:r>
      <w:r w:rsidR="00BE02E4" w:rsidRPr="173D2733">
        <w:rPr>
          <w:sz w:val="22"/>
          <w:szCs w:val="22"/>
        </w:rPr>
        <w:t>Machine Facility</w:t>
      </w:r>
      <w:r w:rsidR="00BE02E4" w:rsidRPr="6090419E">
        <w:rPr>
          <w:sz w:val="22"/>
          <w:szCs w:val="22"/>
        </w:rPr>
        <w:t xml:space="preserve"> </w:t>
      </w:r>
      <w:r>
        <w:rPr>
          <w:sz w:val="22"/>
          <w:szCs w:val="22"/>
        </w:rPr>
        <w:t xml:space="preserve">program is </w:t>
      </w:r>
      <w:r w:rsidR="4D1B1F2E">
        <w:rPr>
          <w:sz w:val="22"/>
          <w:szCs w:val="22"/>
        </w:rPr>
        <w:t xml:space="preserve">not </w:t>
      </w:r>
      <w:r>
        <w:rPr>
          <w:sz w:val="22"/>
          <w:szCs w:val="22"/>
        </w:rPr>
        <w:t xml:space="preserve">expected to generate enough revenue to </w:t>
      </w:r>
      <w:r w:rsidR="00667633">
        <w:rPr>
          <w:sz w:val="22"/>
          <w:szCs w:val="22"/>
        </w:rPr>
        <w:t xml:space="preserve">cover </w:t>
      </w:r>
      <w:r>
        <w:rPr>
          <w:sz w:val="22"/>
          <w:szCs w:val="22"/>
        </w:rPr>
        <w:t xml:space="preserve">costs over the </w:t>
      </w:r>
      <w:r>
        <w:rPr>
          <w:sz w:val="22"/>
          <w:szCs w:val="22"/>
        </w:rPr>
        <w:lastRenderedPageBreak/>
        <w:t>next six years, which hinders the necessary drawdown of the excess fee balance.</w:t>
      </w:r>
      <w:r w:rsidR="00660D86">
        <w:rPr>
          <w:sz w:val="22"/>
          <w:szCs w:val="22"/>
        </w:rPr>
        <w:t xml:space="preserve"> </w:t>
      </w:r>
      <w:r>
        <w:rPr>
          <w:sz w:val="22"/>
          <w:szCs w:val="22"/>
        </w:rPr>
        <w:t xml:space="preserve">The </w:t>
      </w:r>
      <w:r w:rsidR="00BB73FC">
        <w:rPr>
          <w:sz w:val="22"/>
          <w:szCs w:val="22"/>
        </w:rPr>
        <w:t>chart below shows actual revenue and expenditures from FY 2019 through FY 2024, and projected revenue and expenditures from FY 2025 through FY 2031</w:t>
      </w:r>
      <w:r>
        <w:rPr>
          <w:sz w:val="22"/>
          <w:szCs w:val="22"/>
        </w:rPr>
        <w:t>.</w:t>
      </w:r>
      <w:r w:rsidR="00703005" w:rsidRPr="00703005">
        <w:rPr>
          <w:noProof/>
          <w14:ligatures w14:val="none"/>
          <w14:cntxtAlts w14:val="0"/>
        </w:rPr>
        <w:t xml:space="preserve"> </w:t>
      </w:r>
      <w:r w:rsidR="00703005" w:rsidRPr="00703005">
        <w:rPr>
          <w:noProof/>
          <w:sz w:val="22"/>
          <w:szCs w:val="22"/>
        </w:rPr>
        <w:drawing>
          <wp:inline distT="0" distB="0" distL="0" distR="0" wp14:anchorId="2E845A2A" wp14:editId="51A195EF">
            <wp:extent cx="5724525" cy="1779740"/>
            <wp:effectExtent l="0" t="0" r="0" b="0"/>
            <wp:docPr id="775747701" name="Picture 1" descr="Chart, bar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747701" name="Picture 1" descr="Chart, bar chart&#10;&#10;AI-generated content may be incorrect."/>
                    <pic:cNvPicPr/>
                  </pic:nvPicPr>
                  <pic:blipFill>
                    <a:blip r:embed="rId37"/>
                    <a:stretch>
                      <a:fillRect/>
                    </a:stretch>
                  </pic:blipFill>
                  <pic:spPr>
                    <a:xfrm>
                      <a:off x="0" y="0"/>
                      <a:ext cx="5724525" cy="1779740"/>
                    </a:xfrm>
                    <a:prstGeom prst="rect">
                      <a:avLst/>
                    </a:prstGeom>
                  </pic:spPr>
                </pic:pic>
              </a:graphicData>
            </a:graphic>
          </wp:inline>
        </w:drawing>
      </w:r>
    </w:p>
    <w:p w14:paraId="7B9685E6" w14:textId="77777777" w:rsidR="00123BE8" w:rsidRDefault="00123BE8" w:rsidP="2FC1AB7B">
      <w:pPr>
        <w:pStyle w:val="NoSpacing"/>
      </w:pPr>
    </w:p>
    <w:p w14:paraId="578D082A" w14:textId="77777777" w:rsidR="008E5CB0" w:rsidRPr="00103C7B" w:rsidRDefault="008E5CB0" w:rsidP="00103C7B">
      <w:pPr>
        <w:pStyle w:val="NoSpacing"/>
        <w:rPr>
          <w:b/>
          <w:bCs/>
          <w:sz w:val="24"/>
          <w:szCs w:val="24"/>
        </w:rPr>
      </w:pPr>
      <w:r w:rsidRPr="00103C7B">
        <w:rPr>
          <w:b/>
          <w:bCs/>
          <w:sz w:val="24"/>
          <w:szCs w:val="24"/>
        </w:rPr>
        <w:t xml:space="preserve">Fee Proposal </w:t>
      </w:r>
    </w:p>
    <w:p w14:paraId="6C869CE1" w14:textId="4F0C510A" w:rsidR="00271DB3" w:rsidRDefault="00271DB3" w:rsidP="00271DB3">
      <w:pPr>
        <w:rPr>
          <w:sz w:val="22"/>
          <w:szCs w:val="22"/>
        </w:rPr>
      </w:pPr>
      <w:r>
        <w:t xml:space="preserve">To </w:t>
      </w:r>
      <w:r w:rsidR="00A704A4" w:rsidRPr="26611CF0">
        <w:rPr>
          <w:rFonts w:eastAsia="Calibri"/>
          <w:sz w:val="22"/>
          <w:szCs w:val="22"/>
        </w:rPr>
        <w:t>address cost-of-living adjustments made in the 2025-2027 state budget (ESSB 5167)</w:t>
      </w:r>
      <w:r w:rsidR="00A704A4">
        <w:rPr>
          <w:rFonts w:eastAsia="Calibri"/>
          <w:sz w:val="22"/>
          <w:szCs w:val="22"/>
        </w:rPr>
        <w:t xml:space="preserve"> and </w:t>
      </w:r>
      <w:r w:rsidRPr="173D2733">
        <w:rPr>
          <w:sz w:val="22"/>
          <w:szCs w:val="22"/>
        </w:rPr>
        <w:t xml:space="preserve">bring the X-ray </w:t>
      </w:r>
      <w:r w:rsidR="00F81FC9" w:rsidRPr="173D2733">
        <w:rPr>
          <w:sz w:val="22"/>
          <w:szCs w:val="22"/>
        </w:rPr>
        <w:t>Machine Facility</w:t>
      </w:r>
      <w:r w:rsidR="00F81FC9" w:rsidRPr="6090419E">
        <w:rPr>
          <w:sz w:val="22"/>
          <w:szCs w:val="22"/>
        </w:rPr>
        <w:t xml:space="preserve"> </w:t>
      </w:r>
      <w:r w:rsidR="00F81FC9">
        <w:rPr>
          <w:sz w:val="22"/>
          <w:szCs w:val="22"/>
        </w:rPr>
        <w:t xml:space="preserve">program </w:t>
      </w:r>
      <w:r w:rsidRPr="173D2733">
        <w:rPr>
          <w:sz w:val="22"/>
          <w:szCs w:val="22"/>
        </w:rPr>
        <w:t>fee balance into alignment with requirements, the following fees are proposed:</w:t>
      </w:r>
    </w:p>
    <w:tbl>
      <w:tblPr>
        <w:tblW w:w="93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3702"/>
        <w:gridCol w:w="1521"/>
        <w:gridCol w:w="1581"/>
      </w:tblGrid>
      <w:tr w:rsidR="00271DB3" w:rsidRPr="008A1E17" w14:paraId="644CD070" w14:textId="77777777" w:rsidTr="00602481">
        <w:trPr>
          <w:trHeight w:val="300"/>
        </w:trPr>
        <w:tc>
          <w:tcPr>
            <w:tcW w:w="9365" w:type="dxa"/>
            <w:gridSpan w:val="4"/>
            <w:vAlign w:val="center"/>
            <w:hideMark/>
          </w:tcPr>
          <w:p w14:paraId="033D5E06" w14:textId="77777777" w:rsidR="00271DB3" w:rsidRPr="008A1E17" w:rsidRDefault="00271DB3">
            <w:pPr>
              <w:spacing w:after="0" w:line="240" w:lineRule="auto"/>
              <w:jc w:val="center"/>
              <w:rPr>
                <w:b/>
                <w:bCs/>
                <w:color w:val="auto"/>
                <w:kern w:val="0"/>
                <w:sz w:val="22"/>
                <w:szCs w:val="22"/>
                <w14:ligatures w14:val="none"/>
                <w14:cntxtAlts w14:val="0"/>
              </w:rPr>
            </w:pPr>
            <w:r w:rsidRPr="008A1E17">
              <w:rPr>
                <w:b/>
                <w:bCs/>
                <w:color w:val="auto"/>
                <w:kern w:val="0"/>
                <w:sz w:val="22"/>
                <w:szCs w:val="22"/>
                <w14:ligatures w14:val="none"/>
                <w14:cntxtAlts w14:val="0"/>
              </w:rPr>
              <w:t>Radiation Facility Fees</w:t>
            </w:r>
            <w:r w:rsidRPr="008A1E17">
              <w:rPr>
                <w:color w:val="auto"/>
                <w:kern w:val="0"/>
                <w:sz w:val="22"/>
                <w:szCs w:val="22"/>
                <w14:ligatures w14:val="none"/>
                <w14:cntxtAlts w14:val="0"/>
              </w:rPr>
              <w:t> </w:t>
            </w:r>
          </w:p>
        </w:tc>
      </w:tr>
      <w:tr w:rsidR="00271DB3" w:rsidRPr="008A1E17" w14:paraId="7846CDF1" w14:textId="77777777" w:rsidTr="00602481">
        <w:trPr>
          <w:trHeight w:val="403"/>
        </w:trPr>
        <w:tc>
          <w:tcPr>
            <w:tcW w:w="6263" w:type="dxa"/>
            <w:gridSpan w:val="2"/>
            <w:vAlign w:val="center"/>
            <w:hideMark/>
          </w:tcPr>
          <w:p w14:paraId="71E544BC" w14:textId="77777777" w:rsidR="00271DB3" w:rsidRPr="008A1E17" w:rsidRDefault="00271DB3">
            <w:pPr>
              <w:spacing w:after="0" w:line="240" w:lineRule="auto"/>
              <w:jc w:val="center"/>
              <w:rPr>
                <w:b/>
                <w:bCs/>
                <w:color w:val="auto"/>
                <w:kern w:val="0"/>
                <w:sz w:val="22"/>
                <w:szCs w:val="22"/>
                <w14:ligatures w14:val="none"/>
                <w14:cntxtAlts w14:val="0"/>
              </w:rPr>
            </w:pPr>
            <w:r w:rsidRPr="008A1E17">
              <w:rPr>
                <w:b/>
                <w:bCs/>
                <w:color w:val="auto"/>
                <w:kern w:val="0"/>
                <w:sz w:val="22"/>
                <w:szCs w:val="22"/>
                <w14:ligatures w14:val="none"/>
                <w14:cntxtAlts w14:val="0"/>
              </w:rPr>
              <w:t>Facility Type</w:t>
            </w:r>
          </w:p>
        </w:tc>
        <w:tc>
          <w:tcPr>
            <w:tcW w:w="1521" w:type="dxa"/>
            <w:vAlign w:val="center"/>
            <w:hideMark/>
          </w:tcPr>
          <w:p w14:paraId="038ACE4C" w14:textId="70A2D0AA" w:rsidR="00271DB3" w:rsidRPr="008A1E17" w:rsidRDefault="007B6D12">
            <w:pPr>
              <w:spacing w:after="0" w:line="240" w:lineRule="auto"/>
              <w:jc w:val="center"/>
              <w:rPr>
                <w:b/>
                <w:bCs/>
                <w:color w:val="auto"/>
                <w:kern w:val="0"/>
                <w:sz w:val="22"/>
                <w:szCs w:val="22"/>
                <w14:ligatures w14:val="none"/>
                <w14:cntxtAlts w14:val="0"/>
              </w:rPr>
            </w:pPr>
            <w:r>
              <w:rPr>
                <w:b/>
                <w:bCs/>
                <w:color w:val="auto"/>
                <w:kern w:val="0"/>
                <w:sz w:val="22"/>
                <w:szCs w:val="22"/>
                <w14:ligatures w14:val="none"/>
                <w14:cntxtAlts w14:val="0"/>
              </w:rPr>
              <w:t>Current</w:t>
            </w:r>
            <w:r w:rsidR="00271DB3" w:rsidRPr="008A1E17">
              <w:rPr>
                <w:b/>
                <w:bCs/>
                <w:color w:val="auto"/>
                <w:kern w:val="0"/>
                <w:sz w:val="22"/>
                <w:szCs w:val="22"/>
                <w14:ligatures w14:val="none"/>
                <w14:cntxtAlts w14:val="0"/>
              </w:rPr>
              <w:t xml:space="preserve"> Fee</w:t>
            </w:r>
          </w:p>
        </w:tc>
        <w:tc>
          <w:tcPr>
            <w:tcW w:w="1581" w:type="dxa"/>
            <w:vAlign w:val="center"/>
            <w:hideMark/>
          </w:tcPr>
          <w:p w14:paraId="7F18DF98" w14:textId="77777777" w:rsidR="00271DB3" w:rsidRPr="008A1E17" w:rsidRDefault="00271DB3">
            <w:pPr>
              <w:spacing w:after="0" w:line="240" w:lineRule="auto"/>
              <w:jc w:val="center"/>
              <w:rPr>
                <w:b/>
                <w:bCs/>
                <w:color w:val="auto"/>
                <w:kern w:val="0"/>
                <w:sz w:val="22"/>
                <w:szCs w:val="22"/>
                <w14:ligatures w14:val="none"/>
                <w14:cntxtAlts w14:val="0"/>
              </w:rPr>
            </w:pPr>
            <w:r w:rsidRPr="008A1E17">
              <w:rPr>
                <w:b/>
                <w:bCs/>
                <w:color w:val="auto"/>
                <w:kern w:val="0"/>
                <w:sz w:val="22"/>
                <w:szCs w:val="22"/>
                <w14:ligatures w14:val="none"/>
                <w14:cntxtAlts w14:val="0"/>
              </w:rPr>
              <w:t>Proposed Fee</w:t>
            </w:r>
            <w:r w:rsidRPr="008A1E17">
              <w:rPr>
                <w:color w:val="auto"/>
                <w:kern w:val="0"/>
                <w:sz w:val="22"/>
                <w:szCs w:val="22"/>
                <w14:ligatures w14:val="none"/>
                <w14:cntxtAlts w14:val="0"/>
              </w:rPr>
              <w:t>  </w:t>
            </w:r>
          </w:p>
        </w:tc>
      </w:tr>
      <w:tr w:rsidR="00271DB3" w:rsidRPr="008A1E17" w14:paraId="1D779983" w14:textId="77777777" w:rsidTr="00602481">
        <w:trPr>
          <w:trHeight w:val="270"/>
        </w:trPr>
        <w:tc>
          <w:tcPr>
            <w:tcW w:w="6263" w:type="dxa"/>
            <w:gridSpan w:val="2"/>
            <w:hideMark/>
          </w:tcPr>
          <w:p w14:paraId="4F577CFA" w14:textId="77777777" w:rsidR="00271DB3" w:rsidRPr="008A1E17" w:rsidRDefault="00271DB3">
            <w:pPr>
              <w:spacing w:after="0" w:line="240" w:lineRule="auto"/>
              <w:jc w:val="center"/>
              <w:rPr>
                <w:color w:val="auto"/>
                <w:kern w:val="0"/>
                <w:sz w:val="22"/>
                <w:szCs w:val="22"/>
                <w14:ligatures w14:val="none"/>
                <w14:cntxtAlts w14:val="0"/>
              </w:rPr>
            </w:pPr>
            <w:r w:rsidRPr="008A1E17">
              <w:rPr>
                <w:color w:val="auto"/>
                <w:kern w:val="0"/>
                <w:sz w:val="22"/>
                <w:szCs w:val="22"/>
                <w14:ligatures w14:val="none"/>
                <w14:cntxtAlts w14:val="0"/>
              </w:rPr>
              <w:t xml:space="preserve">Dental, podiatric, veterinary </w:t>
            </w:r>
          </w:p>
        </w:tc>
        <w:tc>
          <w:tcPr>
            <w:tcW w:w="1521" w:type="dxa"/>
            <w:vAlign w:val="center"/>
            <w:hideMark/>
          </w:tcPr>
          <w:p w14:paraId="6A626859" w14:textId="77777777" w:rsidR="00271DB3" w:rsidRPr="008A1E17" w:rsidRDefault="00271DB3">
            <w:pPr>
              <w:spacing w:after="0" w:line="240" w:lineRule="auto"/>
              <w:jc w:val="center"/>
              <w:rPr>
                <w:color w:val="auto"/>
                <w:kern w:val="0"/>
                <w:sz w:val="22"/>
                <w:szCs w:val="22"/>
                <w14:ligatures w14:val="none"/>
                <w14:cntxtAlts w14:val="0"/>
              </w:rPr>
            </w:pPr>
            <w:r w:rsidRPr="008A1E17">
              <w:rPr>
                <w:color w:val="auto"/>
                <w:kern w:val="0"/>
                <w:sz w:val="22"/>
                <w:szCs w:val="22"/>
                <w14:ligatures w14:val="none"/>
                <w14:cntxtAlts w14:val="0"/>
              </w:rPr>
              <w:t xml:space="preserve"> $        </w:t>
            </w:r>
            <w:r>
              <w:rPr>
                <w:color w:val="auto"/>
                <w:kern w:val="0"/>
                <w:sz w:val="22"/>
                <w:szCs w:val="22"/>
                <w14:ligatures w14:val="none"/>
                <w14:cntxtAlts w14:val="0"/>
              </w:rPr>
              <w:t>195</w:t>
            </w:r>
            <w:r w:rsidRPr="008A1E17">
              <w:rPr>
                <w:color w:val="auto"/>
                <w:kern w:val="0"/>
                <w:sz w:val="22"/>
                <w:szCs w:val="22"/>
                <w14:ligatures w14:val="none"/>
                <w14:cntxtAlts w14:val="0"/>
              </w:rPr>
              <w:t xml:space="preserve"> </w:t>
            </w:r>
          </w:p>
        </w:tc>
        <w:tc>
          <w:tcPr>
            <w:tcW w:w="1581" w:type="dxa"/>
            <w:vMerge w:val="restart"/>
            <w:vAlign w:val="center"/>
            <w:hideMark/>
          </w:tcPr>
          <w:p w14:paraId="5C49FCE4" w14:textId="77777777" w:rsidR="00271DB3" w:rsidRPr="008A1E17" w:rsidRDefault="00271DB3">
            <w:pPr>
              <w:spacing w:after="0" w:line="240" w:lineRule="auto"/>
              <w:jc w:val="center"/>
              <w:rPr>
                <w:color w:val="auto"/>
                <w:kern w:val="0"/>
                <w:sz w:val="22"/>
                <w:szCs w:val="22"/>
                <w14:ligatures w14:val="none"/>
                <w14:cntxtAlts w14:val="0"/>
              </w:rPr>
            </w:pPr>
            <w:r w:rsidRPr="008A1E17">
              <w:rPr>
                <w:color w:val="auto"/>
                <w:kern w:val="0"/>
                <w:sz w:val="22"/>
                <w:szCs w:val="22"/>
                <w14:ligatures w14:val="none"/>
                <w14:cntxtAlts w14:val="0"/>
              </w:rPr>
              <w:t xml:space="preserve"> $      </w:t>
            </w:r>
            <w:r>
              <w:rPr>
                <w:color w:val="auto"/>
                <w:kern w:val="0"/>
                <w:sz w:val="22"/>
                <w:szCs w:val="22"/>
                <w14:ligatures w14:val="none"/>
                <w14:cntxtAlts w14:val="0"/>
              </w:rPr>
              <w:t>24</w:t>
            </w:r>
            <w:r w:rsidRPr="008A1E17">
              <w:rPr>
                <w:color w:val="auto"/>
                <w:kern w:val="0"/>
                <w:sz w:val="22"/>
                <w:szCs w:val="22"/>
                <w14:ligatures w14:val="none"/>
                <w14:cntxtAlts w14:val="0"/>
              </w:rPr>
              <w:t xml:space="preserve">5.00 </w:t>
            </w:r>
          </w:p>
        </w:tc>
      </w:tr>
      <w:tr w:rsidR="00271DB3" w:rsidRPr="008A1E17" w14:paraId="4B297CD8" w14:textId="77777777" w:rsidTr="00602481">
        <w:trPr>
          <w:trHeight w:val="300"/>
        </w:trPr>
        <w:tc>
          <w:tcPr>
            <w:tcW w:w="6263" w:type="dxa"/>
            <w:gridSpan w:val="2"/>
            <w:hideMark/>
          </w:tcPr>
          <w:p w14:paraId="1048F289" w14:textId="77777777" w:rsidR="00271DB3" w:rsidRPr="008A1E17" w:rsidRDefault="00271DB3">
            <w:pPr>
              <w:spacing w:after="0" w:line="240" w:lineRule="auto"/>
              <w:jc w:val="center"/>
              <w:rPr>
                <w:color w:val="auto"/>
                <w:kern w:val="0"/>
                <w:sz w:val="22"/>
                <w:szCs w:val="22"/>
                <w14:ligatures w14:val="none"/>
                <w14:cntxtAlts w14:val="0"/>
              </w:rPr>
            </w:pPr>
            <w:r w:rsidRPr="008A1E17">
              <w:rPr>
                <w:color w:val="auto"/>
                <w:kern w:val="0"/>
                <w:sz w:val="22"/>
                <w:szCs w:val="22"/>
                <w14:ligatures w14:val="none"/>
                <w14:cntxtAlts w14:val="0"/>
              </w:rPr>
              <w:t xml:space="preserve">Hospital, medical, chiropractic </w:t>
            </w:r>
          </w:p>
        </w:tc>
        <w:tc>
          <w:tcPr>
            <w:tcW w:w="1521" w:type="dxa"/>
            <w:vAlign w:val="center"/>
            <w:hideMark/>
          </w:tcPr>
          <w:p w14:paraId="598D313C" w14:textId="77777777" w:rsidR="00271DB3" w:rsidRPr="008A1E17" w:rsidRDefault="00271DB3">
            <w:pPr>
              <w:spacing w:after="0" w:line="240" w:lineRule="auto"/>
              <w:jc w:val="center"/>
              <w:rPr>
                <w:color w:val="auto"/>
                <w:kern w:val="0"/>
                <w:sz w:val="22"/>
                <w:szCs w:val="22"/>
                <w14:ligatures w14:val="none"/>
                <w14:cntxtAlts w14:val="0"/>
              </w:rPr>
            </w:pPr>
            <w:r w:rsidRPr="008A1E17">
              <w:rPr>
                <w:color w:val="auto"/>
                <w:kern w:val="0"/>
                <w:sz w:val="22"/>
                <w:szCs w:val="22"/>
                <w14:ligatures w14:val="none"/>
                <w14:cntxtAlts w14:val="0"/>
              </w:rPr>
              <w:t xml:space="preserve"> $       </w:t>
            </w:r>
            <w:r>
              <w:rPr>
                <w:color w:val="auto"/>
                <w:kern w:val="0"/>
                <w:sz w:val="22"/>
                <w:szCs w:val="22"/>
                <w14:ligatures w14:val="none"/>
                <w14:cntxtAlts w14:val="0"/>
              </w:rPr>
              <w:t xml:space="preserve"> 195</w:t>
            </w:r>
          </w:p>
        </w:tc>
        <w:tc>
          <w:tcPr>
            <w:tcW w:w="1581" w:type="dxa"/>
            <w:vMerge/>
            <w:vAlign w:val="center"/>
            <w:hideMark/>
          </w:tcPr>
          <w:p w14:paraId="18A69EDF" w14:textId="77777777" w:rsidR="00271DB3" w:rsidRPr="008A1E17" w:rsidRDefault="00271DB3">
            <w:pPr>
              <w:spacing w:after="0" w:line="240" w:lineRule="auto"/>
              <w:rPr>
                <w:color w:val="auto"/>
                <w:kern w:val="0"/>
                <w:sz w:val="22"/>
                <w:szCs w:val="22"/>
                <w14:ligatures w14:val="none"/>
                <w14:cntxtAlts w14:val="0"/>
              </w:rPr>
            </w:pPr>
          </w:p>
        </w:tc>
      </w:tr>
      <w:tr w:rsidR="00271DB3" w:rsidRPr="008A1E17" w14:paraId="1391F41D" w14:textId="77777777" w:rsidTr="00602481">
        <w:trPr>
          <w:trHeight w:val="300"/>
        </w:trPr>
        <w:tc>
          <w:tcPr>
            <w:tcW w:w="6263" w:type="dxa"/>
            <w:gridSpan w:val="2"/>
            <w:hideMark/>
          </w:tcPr>
          <w:p w14:paraId="11A74E47" w14:textId="77777777" w:rsidR="00271DB3" w:rsidRPr="008A1E17" w:rsidRDefault="00271DB3">
            <w:pPr>
              <w:spacing w:after="0" w:line="240" w:lineRule="auto"/>
              <w:jc w:val="center"/>
              <w:rPr>
                <w:color w:val="auto"/>
                <w:kern w:val="0"/>
                <w:sz w:val="22"/>
                <w:szCs w:val="22"/>
                <w14:ligatures w14:val="none"/>
                <w14:cntxtAlts w14:val="0"/>
              </w:rPr>
            </w:pPr>
            <w:r w:rsidRPr="008A1E17">
              <w:rPr>
                <w:color w:val="auto"/>
                <w:kern w:val="0"/>
                <w:sz w:val="22"/>
                <w:szCs w:val="22"/>
                <w14:ligatures w14:val="none"/>
                <w14:cntxtAlts w14:val="0"/>
              </w:rPr>
              <w:t>Industrial, research, educational, security or other facilities</w:t>
            </w:r>
          </w:p>
        </w:tc>
        <w:tc>
          <w:tcPr>
            <w:tcW w:w="1521" w:type="dxa"/>
            <w:vAlign w:val="center"/>
            <w:hideMark/>
          </w:tcPr>
          <w:p w14:paraId="5A72AB2B" w14:textId="77777777" w:rsidR="00271DB3" w:rsidRPr="008A1E17" w:rsidRDefault="00271DB3">
            <w:pPr>
              <w:spacing w:after="0" w:line="240" w:lineRule="auto"/>
              <w:jc w:val="center"/>
              <w:rPr>
                <w:color w:val="auto"/>
                <w:kern w:val="0"/>
                <w:sz w:val="22"/>
                <w:szCs w:val="22"/>
                <w14:ligatures w14:val="none"/>
                <w14:cntxtAlts w14:val="0"/>
              </w:rPr>
            </w:pPr>
            <w:r w:rsidRPr="008A1E17">
              <w:rPr>
                <w:color w:val="auto"/>
                <w:kern w:val="0"/>
                <w:sz w:val="22"/>
                <w:szCs w:val="22"/>
                <w14:ligatures w14:val="none"/>
                <w14:cntxtAlts w14:val="0"/>
              </w:rPr>
              <w:t xml:space="preserve">$       </w:t>
            </w:r>
            <w:r>
              <w:rPr>
                <w:color w:val="auto"/>
                <w:kern w:val="0"/>
                <w:sz w:val="22"/>
                <w:szCs w:val="22"/>
                <w14:ligatures w14:val="none"/>
                <w14:cntxtAlts w14:val="0"/>
              </w:rPr>
              <w:t xml:space="preserve"> 195</w:t>
            </w:r>
          </w:p>
        </w:tc>
        <w:tc>
          <w:tcPr>
            <w:tcW w:w="1581" w:type="dxa"/>
            <w:vMerge/>
            <w:vAlign w:val="center"/>
            <w:hideMark/>
          </w:tcPr>
          <w:p w14:paraId="7C1D855B" w14:textId="77777777" w:rsidR="00271DB3" w:rsidRPr="008A1E17" w:rsidRDefault="00271DB3">
            <w:pPr>
              <w:spacing w:after="0" w:line="240" w:lineRule="auto"/>
              <w:rPr>
                <w:color w:val="auto"/>
                <w:kern w:val="0"/>
                <w:sz w:val="22"/>
                <w:szCs w:val="22"/>
                <w14:ligatures w14:val="none"/>
                <w14:cntxtAlts w14:val="0"/>
              </w:rPr>
            </w:pPr>
          </w:p>
        </w:tc>
      </w:tr>
      <w:tr w:rsidR="00271DB3" w:rsidRPr="008A1E17" w14:paraId="3BAE4FDD" w14:textId="77777777" w:rsidTr="00602481">
        <w:trPr>
          <w:trHeight w:val="300"/>
        </w:trPr>
        <w:tc>
          <w:tcPr>
            <w:tcW w:w="6263" w:type="dxa"/>
            <w:gridSpan w:val="2"/>
            <w:hideMark/>
          </w:tcPr>
          <w:p w14:paraId="614EC058" w14:textId="77777777" w:rsidR="00271DB3" w:rsidRPr="008A1E17" w:rsidRDefault="00271DB3">
            <w:pPr>
              <w:spacing w:after="0" w:line="240" w:lineRule="auto"/>
              <w:jc w:val="center"/>
              <w:rPr>
                <w:color w:val="auto"/>
                <w:kern w:val="0"/>
                <w:sz w:val="22"/>
                <w:szCs w:val="22"/>
                <w14:ligatures w14:val="none"/>
                <w14:cntxtAlts w14:val="0"/>
              </w:rPr>
            </w:pPr>
            <w:r w:rsidRPr="008A1E17">
              <w:rPr>
                <w:color w:val="auto"/>
                <w:kern w:val="0"/>
                <w:sz w:val="22"/>
                <w:szCs w:val="22"/>
                <w14:ligatures w14:val="none"/>
                <w14:cntxtAlts w14:val="0"/>
              </w:rPr>
              <w:t>Mammography only</w:t>
            </w:r>
          </w:p>
        </w:tc>
        <w:tc>
          <w:tcPr>
            <w:tcW w:w="1521" w:type="dxa"/>
            <w:vAlign w:val="center"/>
            <w:hideMark/>
          </w:tcPr>
          <w:p w14:paraId="2535D892" w14:textId="77777777" w:rsidR="00271DB3" w:rsidRPr="008A1E17" w:rsidRDefault="00271DB3">
            <w:pPr>
              <w:spacing w:after="0" w:line="240" w:lineRule="auto"/>
              <w:jc w:val="center"/>
              <w:rPr>
                <w:color w:val="auto"/>
                <w:kern w:val="0"/>
                <w:sz w:val="22"/>
                <w:szCs w:val="22"/>
                <w14:ligatures w14:val="none"/>
                <w14:cntxtAlts w14:val="0"/>
              </w:rPr>
            </w:pPr>
            <w:r w:rsidRPr="008A1E17">
              <w:rPr>
                <w:color w:val="auto"/>
                <w:kern w:val="0"/>
                <w:sz w:val="22"/>
                <w:szCs w:val="22"/>
                <w14:ligatures w14:val="none"/>
                <w14:cntxtAlts w14:val="0"/>
              </w:rPr>
              <w:t xml:space="preserve">$       </w:t>
            </w:r>
            <w:r>
              <w:rPr>
                <w:color w:val="auto"/>
                <w:kern w:val="0"/>
                <w:sz w:val="22"/>
                <w:szCs w:val="22"/>
                <w14:ligatures w14:val="none"/>
                <w14:cntxtAlts w14:val="0"/>
              </w:rPr>
              <w:t xml:space="preserve"> 195</w:t>
            </w:r>
          </w:p>
        </w:tc>
        <w:tc>
          <w:tcPr>
            <w:tcW w:w="1581" w:type="dxa"/>
            <w:vMerge/>
            <w:vAlign w:val="center"/>
            <w:hideMark/>
          </w:tcPr>
          <w:p w14:paraId="1DC22265" w14:textId="77777777" w:rsidR="00271DB3" w:rsidRPr="008A1E17" w:rsidRDefault="00271DB3">
            <w:pPr>
              <w:spacing w:after="0" w:line="240" w:lineRule="auto"/>
              <w:rPr>
                <w:color w:val="auto"/>
                <w:kern w:val="0"/>
                <w:sz w:val="22"/>
                <w:szCs w:val="22"/>
                <w14:ligatures w14:val="none"/>
                <w14:cntxtAlts w14:val="0"/>
              </w:rPr>
            </w:pPr>
          </w:p>
        </w:tc>
      </w:tr>
      <w:tr w:rsidR="00271DB3" w:rsidRPr="008A1E17" w14:paraId="058ECBE4" w14:textId="77777777" w:rsidTr="00602481">
        <w:trPr>
          <w:trHeight w:val="300"/>
        </w:trPr>
        <w:tc>
          <w:tcPr>
            <w:tcW w:w="6263" w:type="dxa"/>
            <w:gridSpan w:val="2"/>
            <w:hideMark/>
          </w:tcPr>
          <w:p w14:paraId="293A9C97" w14:textId="77777777" w:rsidR="00271DB3" w:rsidRPr="008A1E17" w:rsidRDefault="00271DB3">
            <w:pPr>
              <w:spacing w:after="0" w:line="240" w:lineRule="auto"/>
              <w:jc w:val="center"/>
              <w:rPr>
                <w:color w:val="auto"/>
                <w:kern w:val="0"/>
                <w:sz w:val="22"/>
                <w:szCs w:val="22"/>
                <w14:ligatures w14:val="none"/>
                <w14:cntxtAlts w14:val="0"/>
              </w:rPr>
            </w:pPr>
            <w:r w:rsidRPr="008A1E17">
              <w:rPr>
                <w:color w:val="auto"/>
                <w:kern w:val="0"/>
                <w:sz w:val="22"/>
                <w:szCs w:val="22"/>
                <w14:ligatures w14:val="none"/>
                <w14:cntxtAlts w14:val="0"/>
              </w:rPr>
              <w:t>Bone densitometry only</w:t>
            </w:r>
          </w:p>
        </w:tc>
        <w:tc>
          <w:tcPr>
            <w:tcW w:w="1521" w:type="dxa"/>
            <w:vAlign w:val="center"/>
            <w:hideMark/>
          </w:tcPr>
          <w:p w14:paraId="48961563" w14:textId="77777777" w:rsidR="00271DB3" w:rsidRPr="008A1E17" w:rsidRDefault="00271DB3">
            <w:pPr>
              <w:spacing w:after="0" w:line="240" w:lineRule="auto"/>
              <w:jc w:val="center"/>
              <w:rPr>
                <w:color w:val="auto"/>
                <w:kern w:val="0"/>
                <w:sz w:val="22"/>
                <w:szCs w:val="22"/>
                <w14:ligatures w14:val="none"/>
                <w14:cntxtAlts w14:val="0"/>
              </w:rPr>
            </w:pPr>
            <w:r w:rsidRPr="008A1E17">
              <w:rPr>
                <w:color w:val="auto"/>
                <w:kern w:val="0"/>
                <w:sz w:val="22"/>
                <w:szCs w:val="22"/>
                <w14:ligatures w14:val="none"/>
                <w14:cntxtAlts w14:val="0"/>
              </w:rPr>
              <w:t xml:space="preserve">$       </w:t>
            </w:r>
            <w:r>
              <w:rPr>
                <w:color w:val="auto"/>
                <w:kern w:val="0"/>
                <w:sz w:val="22"/>
                <w:szCs w:val="22"/>
                <w14:ligatures w14:val="none"/>
                <w14:cntxtAlts w14:val="0"/>
              </w:rPr>
              <w:t xml:space="preserve"> 195</w:t>
            </w:r>
          </w:p>
        </w:tc>
        <w:tc>
          <w:tcPr>
            <w:tcW w:w="1581" w:type="dxa"/>
            <w:vMerge/>
            <w:vAlign w:val="center"/>
            <w:hideMark/>
          </w:tcPr>
          <w:p w14:paraId="40BF4A36" w14:textId="77777777" w:rsidR="00271DB3" w:rsidRPr="008A1E17" w:rsidRDefault="00271DB3">
            <w:pPr>
              <w:spacing w:after="0" w:line="240" w:lineRule="auto"/>
              <w:rPr>
                <w:color w:val="auto"/>
                <w:kern w:val="0"/>
                <w:sz w:val="22"/>
                <w:szCs w:val="22"/>
                <w14:ligatures w14:val="none"/>
                <w14:cntxtAlts w14:val="0"/>
              </w:rPr>
            </w:pPr>
          </w:p>
        </w:tc>
      </w:tr>
      <w:tr w:rsidR="00271DB3" w:rsidRPr="008A1E17" w14:paraId="24AE0BF3" w14:textId="77777777" w:rsidTr="00602481">
        <w:trPr>
          <w:trHeight w:val="300"/>
        </w:trPr>
        <w:tc>
          <w:tcPr>
            <w:tcW w:w="6263" w:type="dxa"/>
            <w:gridSpan w:val="2"/>
            <w:hideMark/>
          </w:tcPr>
          <w:p w14:paraId="5230AE3D" w14:textId="77777777" w:rsidR="00271DB3" w:rsidRPr="008A1E17" w:rsidRDefault="00271DB3">
            <w:pPr>
              <w:spacing w:after="0" w:line="240" w:lineRule="auto"/>
              <w:jc w:val="center"/>
              <w:rPr>
                <w:color w:val="auto"/>
                <w:kern w:val="0"/>
                <w:sz w:val="22"/>
                <w:szCs w:val="22"/>
                <w14:ligatures w14:val="none"/>
                <w14:cntxtAlts w14:val="0"/>
              </w:rPr>
            </w:pPr>
            <w:r w:rsidRPr="008A1E17">
              <w:rPr>
                <w:color w:val="auto"/>
                <w:kern w:val="0"/>
                <w:sz w:val="22"/>
                <w:szCs w:val="22"/>
                <w14:ligatures w14:val="none"/>
                <w14:cntxtAlts w14:val="0"/>
              </w:rPr>
              <w:t>Electron microscopes only</w:t>
            </w:r>
          </w:p>
        </w:tc>
        <w:tc>
          <w:tcPr>
            <w:tcW w:w="1521" w:type="dxa"/>
            <w:vAlign w:val="center"/>
            <w:hideMark/>
          </w:tcPr>
          <w:p w14:paraId="30992DC8" w14:textId="77777777" w:rsidR="00271DB3" w:rsidRPr="008A1E17" w:rsidRDefault="00271DB3">
            <w:pPr>
              <w:spacing w:after="0" w:line="240" w:lineRule="auto"/>
              <w:jc w:val="center"/>
              <w:rPr>
                <w:color w:val="auto"/>
                <w:kern w:val="0"/>
                <w:sz w:val="22"/>
                <w:szCs w:val="22"/>
                <w14:ligatures w14:val="none"/>
                <w14:cntxtAlts w14:val="0"/>
              </w:rPr>
            </w:pPr>
            <w:r w:rsidRPr="008A1E17">
              <w:rPr>
                <w:color w:val="auto"/>
                <w:kern w:val="0"/>
                <w:sz w:val="22"/>
                <w:szCs w:val="22"/>
                <w14:ligatures w14:val="none"/>
                <w14:cntxtAlts w14:val="0"/>
              </w:rPr>
              <w:t xml:space="preserve">$       </w:t>
            </w:r>
            <w:r>
              <w:rPr>
                <w:color w:val="auto"/>
                <w:kern w:val="0"/>
                <w:sz w:val="22"/>
                <w:szCs w:val="22"/>
                <w14:ligatures w14:val="none"/>
                <w14:cntxtAlts w14:val="0"/>
              </w:rPr>
              <w:t xml:space="preserve"> 195</w:t>
            </w:r>
          </w:p>
        </w:tc>
        <w:tc>
          <w:tcPr>
            <w:tcW w:w="1581" w:type="dxa"/>
            <w:vMerge/>
            <w:vAlign w:val="center"/>
            <w:hideMark/>
          </w:tcPr>
          <w:p w14:paraId="7F7E2067" w14:textId="77777777" w:rsidR="00271DB3" w:rsidRPr="008A1E17" w:rsidRDefault="00271DB3">
            <w:pPr>
              <w:spacing w:after="0" w:line="240" w:lineRule="auto"/>
              <w:rPr>
                <w:color w:val="auto"/>
                <w:kern w:val="0"/>
                <w:sz w:val="22"/>
                <w:szCs w:val="22"/>
                <w14:ligatures w14:val="none"/>
                <w14:cntxtAlts w14:val="0"/>
              </w:rPr>
            </w:pPr>
          </w:p>
        </w:tc>
      </w:tr>
      <w:tr w:rsidR="00271DB3" w:rsidRPr="008A1E17" w14:paraId="07E76FD6" w14:textId="77777777" w:rsidTr="00602481">
        <w:trPr>
          <w:trHeight w:val="300"/>
        </w:trPr>
        <w:tc>
          <w:tcPr>
            <w:tcW w:w="6263" w:type="dxa"/>
            <w:gridSpan w:val="2"/>
            <w:hideMark/>
          </w:tcPr>
          <w:p w14:paraId="440D3EEC" w14:textId="77777777" w:rsidR="00271DB3" w:rsidRPr="008A1E17" w:rsidRDefault="00271DB3">
            <w:pPr>
              <w:spacing w:after="0" w:line="240" w:lineRule="auto"/>
              <w:jc w:val="center"/>
              <w:rPr>
                <w:color w:val="auto"/>
                <w:kern w:val="0"/>
                <w:sz w:val="22"/>
                <w:szCs w:val="22"/>
                <w14:ligatures w14:val="none"/>
                <w14:cntxtAlts w14:val="0"/>
              </w:rPr>
            </w:pPr>
            <w:r w:rsidRPr="008A1E17">
              <w:rPr>
                <w:color w:val="auto"/>
                <w:kern w:val="0"/>
                <w:sz w:val="22"/>
                <w:szCs w:val="22"/>
                <w14:ligatures w14:val="none"/>
                <w14:cntxtAlts w14:val="0"/>
              </w:rPr>
              <w:t>Bomb squad only</w:t>
            </w:r>
          </w:p>
        </w:tc>
        <w:tc>
          <w:tcPr>
            <w:tcW w:w="1521" w:type="dxa"/>
            <w:vAlign w:val="center"/>
            <w:hideMark/>
          </w:tcPr>
          <w:p w14:paraId="4B33AED0" w14:textId="77777777" w:rsidR="00271DB3" w:rsidRPr="008A1E17" w:rsidRDefault="00271DB3">
            <w:pPr>
              <w:spacing w:after="0" w:line="240" w:lineRule="auto"/>
              <w:jc w:val="center"/>
              <w:rPr>
                <w:color w:val="auto"/>
                <w:kern w:val="0"/>
                <w:sz w:val="22"/>
                <w:szCs w:val="22"/>
                <w14:ligatures w14:val="none"/>
                <w14:cntxtAlts w14:val="0"/>
              </w:rPr>
            </w:pPr>
            <w:r w:rsidRPr="008A1E17">
              <w:rPr>
                <w:color w:val="auto"/>
                <w:kern w:val="0"/>
                <w:sz w:val="22"/>
                <w:szCs w:val="22"/>
                <w14:ligatures w14:val="none"/>
                <w14:cntxtAlts w14:val="0"/>
              </w:rPr>
              <w:t xml:space="preserve">$       </w:t>
            </w:r>
            <w:r>
              <w:rPr>
                <w:color w:val="auto"/>
                <w:kern w:val="0"/>
                <w:sz w:val="22"/>
                <w:szCs w:val="22"/>
                <w14:ligatures w14:val="none"/>
                <w14:cntxtAlts w14:val="0"/>
              </w:rPr>
              <w:t xml:space="preserve"> 195</w:t>
            </w:r>
          </w:p>
        </w:tc>
        <w:tc>
          <w:tcPr>
            <w:tcW w:w="1581" w:type="dxa"/>
            <w:vMerge/>
            <w:vAlign w:val="center"/>
            <w:hideMark/>
          </w:tcPr>
          <w:p w14:paraId="18C63B8E" w14:textId="77777777" w:rsidR="00271DB3" w:rsidRPr="008A1E17" w:rsidRDefault="00271DB3">
            <w:pPr>
              <w:spacing w:after="0" w:line="240" w:lineRule="auto"/>
              <w:rPr>
                <w:color w:val="auto"/>
                <w:kern w:val="0"/>
                <w:sz w:val="22"/>
                <w:szCs w:val="22"/>
                <w14:ligatures w14:val="none"/>
                <w14:cntxtAlts w14:val="0"/>
              </w:rPr>
            </w:pPr>
          </w:p>
        </w:tc>
      </w:tr>
      <w:tr w:rsidR="00271DB3" w14:paraId="00F27D06" w14:textId="77777777" w:rsidTr="00602481">
        <w:trPr>
          <w:trHeight w:hRule="exact" w:val="288"/>
        </w:trPr>
        <w:tc>
          <w:tcPr>
            <w:tcW w:w="9365" w:type="dxa"/>
            <w:gridSpan w:val="4"/>
            <w:vAlign w:val="center"/>
            <w:hideMark/>
          </w:tcPr>
          <w:p w14:paraId="54BA0F86" w14:textId="77777777" w:rsidR="00271DB3" w:rsidRDefault="00271DB3">
            <w:pPr>
              <w:spacing w:after="0" w:line="240" w:lineRule="auto"/>
              <w:jc w:val="center"/>
              <w:rPr>
                <w:b/>
                <w:bCs/>
                <w:color w:val="auto"/>
                <w:kern w:val="0"/>
                <w:sz w:val="22"/>
                <w:szCs w:val="22"/>
                <w14:ligatures w14:val="none"/>
                <w14:cntxtAlts w14:val="0"/>
              </w:rPr>
            </w:pPr>
            <w:r>
              <w:rPr>
                <w:b/>
                <w:bCs/>
                <w:sz w:val="22"/>
                <w:szCs w:val="22"/>
              </w:rPr>
              <w:t>Radiation Machine Tube Fees</w:t>
            </w:r>
            <w:r>
              <w:rPr>
                <w:sz w:val="22"/>
                <w:szCs w:val="22"/>
              </w:rPr>
              <w:t> </w:t>
            </w:r>
          </w:p>
        </w:tc>
      </w:tr>
      <w:tr w:rsidR="00271DB3" w14:paraId="6BBC66D4" w14:textId="77777777" w:rsidTr="00602481">
        <w:trPr>
          <w:trHeight w:hRule="exact" w:val="288"/>
        </w:trPr>
        <w:tc>
          <w:tcPr>
            <w:tcW w:w="2561" w:type="dxa"/>
            <w:vAlign w:val="center"/>
            <w:hideMark/>
          </w:tcPr>
          <w:p w14:paraId="71B2ED86" w14:textId="77777777" w:rsidR="00271DB3" w:rsidRDefault="00271DB3">
            <w:pPr>
              <w:rPr>
                <w:b/>
                <w:bCs/>
                <w:sz w:val="22"/>
                <w:szCs w:val="22"/>
              </w:rPr>
            </w:pPr>
            <w:r>
              <w:rPr>
                <w:b/>
                <w:bCs/>
                <w:sz w:val="22"/>
                <w:szCs w:val="22"/>
              </w:rPr>
              <w:t>Category</w:t>
            </w:r>
            <w:r>
              <w:rPr>
                <w:sz w:val="22"/>
                <w:szCs w:val="22"/>
              </w:rPr>
              <w:t>  </w:t>
            </w:r>
          </w:p>
        </w:tc>
        <w:tc>
          <w:tcPr>
            <w:tcW w:w="3702" w:type="dxa"/>
            <w:vAlign w:val="center"/>
            <w:hideMark/>
          </w:tcPr>
          <w:p w14:paraId="784F1D2C" w14:textId="77777777" w:rsidR="00271DB3" w:rsidRDefault="00271DB3">
            <w:pPr>
              <w:rPr>
                <w:b/>
                <w:bCs/>
                <w:sz w:val="22"/>
                <w:szCs w:val="22"/>
              </w:rPr>
            </w:pPr>
            <w:r>
              <w:rPr>
                <w:b/>
                <w:bCs/>
                <w:sz w:val="22"/>
                <w:szCs w:val="22"/>
              </w:rPr>
              <w:t>Machine Type</w:t>
            </w:r>
            <w:r>
              <w:rPr>
                <w:sz w:val="22"/>
                <w:szCs w:val="22"/>
              </w:rPr>
              <w:t>  </w:t>
            </w:r>
          </w:p>
        </w:tc>
        <w:tc>
          <w:tcPr>
            <w:tcW w:w="1521" w:type="dxa"/>
            <w:vAlign w:val="center"/>
            <w:hideMark/>
          </w:tcPr>
          <w:p w14:paraId="0E1F1128" w14:textId="788324FB" w:rsidR="00271DB3" w:rsidRDefault="007B6D12">
            <w:pPr>
              <w:jc w:val="center"/>
              <w:rPr>
                <w:b/>
                <w:bCs/>
                <w:sz w:val="22"/>
                <w:szCs w:val="22"/>
              </w:rPr>
            </w:pPr>
            <w:r>
              <w:rPr>
                <w:b/>
                <w:bCs/>
                <w:sz w:val="22"/>
                <w:szCs w:val="22"/>
              </w:rPr>
              <w:t>Current</w:t>
            </w:r>
            <w:r w:rsidR="00271DB3">
              <w:rPr>
                <w:b/>
                <w:bCs/>
                <w:sz w:val="22"/>
                <w:szCs w:val="22"/>
              </w:rPr>
              <w:t xml:space="preserve"> Fee</w:t>
            </w:r>
          </w:p>
        </w:tc>
        <w:tc>
          <w:tcPr>
            <w:tcW w:w="1581" w:type="dxa"/>
            <w:vAlign w:val="center"/>
            <w:hideMark/>
          </w:tcPr>
          <w:p w14:paraId="58E1DBDC" w14:textId="77777777" w:rsidR="00271DB3" w:rsidRDefault="00271DB3">
            <w:pPr>
              <w:jc w:val="center"/>
              <w:rPr>
                <w:b/>
                <w:bCs/>
                <w:sz w:val="22"/>
                <w:szCs w:val="22"/>
              </w:rPr>
            </w:pPr>
            <w:r>
              <w:rPr>
                <w:b/>
                <w:bCs/>
                <w:sz w:val="22"/>
                <w:szCs w:val="22"/>
              </w:rPr>
              <w:t>Proposed Fee</w:t>
            </w:r>
            <w:r>
              <w:rPr>
                <w:sz w:val="22"/>
                <w:szCs w:val="22"/>
              </w:rPr>
              <w:t>  </w:t>
            </w:r>
          </w:p>
        </w:tc>
      </w:tr>
      <w:tr w:rsidR="00271DB3" w14:paraId="25023929" w14:textId="77777777" w:rsidTr="00602481">
        <w:trPr>
          <w:trHeight w:hRule="exact" w:val="288"/>
        </w:trPr>
        <w:tc>
          <w:tcPr>
            <w:tcW w:w="2561" w:type="dxa"/>
            <w:vMerge w:val="restart"/>
            <w:hideMark/>
          </w:tcPr>
          <w:p w14:paraId="35C1C00A" w14:textId="77777777" w:rsidR="00271DB3" w:rsidRDefault="00271DB3">
            <w:pPr>
              <w:rPr>
                <w:b/>
                <w:bCs/>
                <w:sz w:val="22"/>
                <w:szCs w:val="22"/>
              </w:rPr>
            </w:pPr>
            <w:r>
              <w:rPr>
                <w:b/>
                <w:bCs/>
                <w:sz w:val="22"/>
                <w:szCs w:val="22"/>
              </w:rPr>
              <w:t>Dental</w:t>
            </w:r>
            <w:r>
              <w:rPr>
                <w:sz w:val="22"/>
                <w:szCs w:val="22"/>
              </w:rPr>
              <w:t>  </w:t>
            </w:r>
          </w:p>
        </w:tc>
        <w:tc>
          <w:tcPr>
            <w:tcW w:w="3702" w:type="dxa"/>
            <w:vAlign w:val="center"/>
            <w:hideMark/>
          </w:tcPr>
          <w:p w14:paraId="64F0FE32" w14:textId="77777777" w:rsidR="00271DB3" w:rsidRDefault="00271DB3">
            <w:pPr>
              <w:rPr>
                <w:sz w:val="22"/>
                <w:szCs w:val="22"/>
              </w:rPr>
            </w:pPr>
            <w:r>
              <w:rPr>
                <w:sz w:val="22"/>
                <w:szCs w:val="22"/>
              </w:rPr>
              <w:t>Intraoral  </w:t>
            </w:r>
          </w:p>
        </w:tc>
        <w:tc>
          <w:tcPr>
            <w:tcW w:w="1521" w:type="dxa"/>
            <w:vAlign w:val="center"/>
            <w:hideMark/>
          </w:tcPr>
          <w:p w14:paraId="0C54B7B5" w14:textId="77777777" w:rsidR="00271DB3" w:rsidRDefault="00271DB3">
            <w:pPr>
              <w:jc w:val="center"/>
              <w:rPr>
                <w:sz w:val="22"/>
                <w:szCs w:val="22"/>
              </w:rPr>
            </w:pPr>
            <w:r>
              <w:rPr>
                <w:sz w:val="22"/>
                <w:szCs w:val="22"/>
              </w:rPr>
              <w:t>$58  </w:t>
            </w:r>
          </w:p>
        </w:tc>
        <w:tc>
          <w:tcPr>
            <w:tcW w:w="1581" w:type="dxa"/>
            <w:vAlign w:val="center"/>
            <w:hideMark/>
          </w:tcPr>
          <w:p w14:paraId="291851AE" w14:textId="77777777" w:rsidR="00271DB3" w:rsidRDefault="00271DB3">
            <w:pPr>
              <w:jc w:val="center"/>
              <w:rPr>
                <w:sz w:val="22"/>
                <w:szCs w:val="22"/>
              </w:rPr>
            </w:pPr>
            <w:r>
              <w:rPr>
                <w:sz w:val="22"/>
                <w:szCs w:val="22"/>
              </w:rPr>
              <w:t>$73  </w:t>
            </w:r>
          </w:p>
        </w:tc>
      </w:tr>
      <w:tr w:rsidR="00271DB3" w14:paraId="352702FC" w14:textId="77777777" w:rsidTr="00602481">
        <w:trPr>
          <w:trHeight w:hRule="exact" w:val="288"/>
        </w:trPr>
        <w:tc>
          <w:tcPr>
            <w:tcW w:w="2561" w:type="dxa"/>
            <w:vMerge/>
            <w:vAlign w:val="center"/>
            <w:hideMark/>
          </w:tcPr>
          <w:p w14:paraId="61578F2B" w14:textId="77777777" w:rsidR="00271DB3" w:rsidRDefault="00271DB3">
            <w:pPr>
              <w:rPr>
                <w:b/>
                <w:bCs/>
                <w:sz w:val="22"/>
                <w:szCs w:val="22"/>
              </w:rPr>
            </w:pPr>
          </w:p>
        </w:tc>
        <w:tc>
          <w:tcPr>
            <w:tcW w:w="3702" w:type="dxa"/>
            <w:vAlign w:val="center"/>
            <w:hideMark/>
          </w:tcPr>
          <w:p w14:paraId="771C4414" w14:textId="77777777" w:rsidR="00271DB3" w:rsidRDefault="00271DB3">
            <w:pPr>
              <w:rPr>
                <w:sz w:val="22"/>
                <w:szCs w:val="22"/>
              </w:rPr>
            </w:pPr>
            <w:r>
              <w:rPr>
                <w:sz w:val="22"/>
                <w:szCs w:val="22"/>
              </w:rPr>
              <w:t>Handheld  </w:t>
            </w:r>
          </w:p>
        </w:tc>
        <w:tc>
          <w:tcPr>
            <w:tcW w:w="1521" w:type="dxa"/>
            <w:vAlign w:val="center"/>
            <w:hideMark/>
          </w:tcPr>
          <w:p w14:paraId="126C9CD8" w14:textId="77777777" w:rsidR="00271DB3" w:rsidRDefault="00271DB3">
            <w:pPr>
              <w:jc w:val="center"/>
              <w:rPr>
                <w:sz w:val="22"/>
                <w:szCs w:val="22"/>
              </w:rPr>
            </w:pPr>
            <w:r>
              <w:rPr>
                <w:sz w:val="22"/>
                <w:szCs w:val="22"/>
              </w:rPr>
              <w:t>$58  </w:t>
            </w:r>
          </w:p>
        </w:tc>
        <w:tc>
          <w:tcPr>
            <w:tcW w:w="1581" w:type="dxa"/>
            <w:vAlign w:val="center"/>
            <w:hideMark/>
          </w:tcPr>
          <w:p w14:paraId="6BC9BB65" w14:textId="77777777" w:rsidR="00271DB3" w:rsidRDefault="00271DB3">
            <w:pPr>
              <w:jc w:val="center"/>
              <w:rPr>
                <w:sz w:val="22"/>
                <w:szCs w:val="22"/>
              </w:rPr>
            </w:pPr>
            <w:r>
              <w:rPr>
                <w:sz w:val="22"/>
                <w:szCs w:val="22"/>
              </w:rPr>
              <w:t>$73  </w:t>
            </w:r>
          </w:p>
        </w:tc>
      </w:tr>
      <w:tr w:rsidR="00271DB3" w14:paraId="4AD3AFA0" w14:textId="77777777" w:rsidTr="00602481">
        <w:trPr>
          <w:trHeight w:hRule="exact" w:val="288"/>
        </w:trPr>
        <w:tc>
          <w:tcPr>
            <w:tcW w:w="2561" w:type="dxa"/>
            <w:vMerge/>
            <w:vAlign w:val="center"/>
            <w:hideMark/>
          </w:tcPr>
          <w:p w14:paraId="34AA499A" w14:textId="77777777" w:rsidR="00271DB3" w:rsidRDefault="00271DB3">
            <w:pPr>
              <w:rPr>
                <w:b/>
                <w:bCs/>
                <w:sz w:val="22"/>
                <w:szCs w:val="22"/>
              </w:rPr>
            </w:pPr>
          </w:p>
        </w:tc>
        <w:tc>
          <w:tcPr>
            <w:tcW w:w="3702" w:type="dxa"/>
            <w:vAlign w:val="center"/>
            <w:hideMark/>
          </w:tcPr>
          <w:p w14:paraId="03D65A70" w14:textId="77777777" w:rsidR="00271DB3" w:rsidRDefault="00271DB3">
            <w:pPr>
              <w:rPr>
                <w:sz w:val="22"/>
                <w:szCs w:val="22"/>
              </w:rPr>
            </w:pPr>
            <w:r>
              <w:rPr>
                <w:sz w:val="22"/>
                <w:szCs w:val="22"/>
              </w:rPr>
              <w:t>Panoramic/Cephalometric  </w:t>
            </w:r>
          </w:p>
        </w:tc>
        <w:tc>
          <w:tcPr>
            <w:tcW w:w="1521" w:type="dxa"/>
            <w:vAlign w:val="center"/>
            <w:hideMark/>
          </w:tcPr>
          <w:p w14:paraId="515824B9" w14:textId="77777777" w:rsidR="00271DB3" w:rsidRDefault="00271DB3">
            <w:pPr>
              <w:jc w:val="center"/>
              <w:rPr>
                <w:sz w:val="22"/>
                <w:szCs w:val="22"/>
              </w:rPr>
            </w:pPr>
            <w:r>
              <w:rPr>
                <w:sz w:val="22"/>
                <w:szCs w:val="22"/>
              </w:rPr>
              <w:t>$58  </w:t>
            </w:r>
          </w:p>
        </w:tc>
        <w:tc>
          <w:tcPr>
            <w:tcW w:w="1581" w:type="dxa"/>
            <w:vAlign w:val="center"/>
            <w:hideMark/>
          </w:tcPr>
          <w:p w14:paraId="3D85A33A" w14:textId="77777777" w:rsidR="00271DB3" w:rsidRDefault="00271DB3">
            <w:pPr>
              <w:jc w:val="center"/>
              <w:rPr>
                <w:sz w:val="22"/>
                <w:szCs w:val="22"/>
              </w:rPr>
            </w:pPr>
            <w:r>
              <w:rPr>
                <w:sz w:val="22"/>
                <w:szCs w:val="22"/>
              </w:rPr>
              <w:t>$73  </w:t>
            </w:r>
          </w:p>
        </w:tc>
      </w:tr>
      <w:tr w:rsidR="00271DB3" w14:paraId="19B3D08B" w14:textId="77777777" w:rsidTr="00602481">
        <w:trPr>
          <w:trHeight w:hRule="exact" w:val="288"/>
        </w:trPr>
        <w:tc>
          <w:tcPr>
            <w:tcW w:w="2561" w:type="dxa"/>
            <w:vMerge/>
            <w:vAlign w:val="center"/>
            <w:hideMark/>
          </w:tcPr>
          <w:p w14:paraId="360578DF" w14:textId="77777777" w:rsidR="00271DB3" w:rsidRDefault="00271DB3">
            <w:pPr>
              <w:rPr>
                <w:b/>
                <w:bCs/>
                <w:sz w:val="22"/>
                <w:szCs w:val="22"/>
              </w:rPr>
            </w:pPr>
          </w:p>
        </w:tc>
        <w:tc>
          <w:tcPr>
            <w:tcW w:w="3702" w:type="dxa"/>
            <w:vAlign w:val="center"/>
            <w:hideMark/>
          </w:tcPr>
          <w:p w14:paraId="0AFAE47F" w14:textId="77777777" w:rsidR="00271DB3" w:rsidRDefault="00271DB3">
            <w:pPr>
              <w:rPr>
                <w:sz w:val="22"/>
                <w:szCs w:val="22"/>
              </w:rPr>
            </w:pPr>
            <w:r>
              <w:rPr>
                <w:sz w:val="22"/>
                <w:szCs w:val="22"/>
              </w:rPr>
              <w:t>Cone Beam CT  </w:t>
            </w:r>
          </w:p>
        </w:tc>
        <w:tc>
          <w:tcPr>
            <w:tcW w:w="1521" w:type="dxa"/>
            <w:vAlign w:val="center"/>
            <w:hideMark/>
          </w:tcPr>
          <w:p w14:paraId="561C9BAD" w14:textId="77777777" w:rsidR="00271DB3" w:rsidRDefault="00271DB3">
            <w:pPr>
              <w:jc w:val="center"/>
              <w:rPr>
                <w:sz w:val="22"/>
                <w:szCs w:val="22"/>
              </w:rPr>
            </w:pPr>
            <w:r>
              <w:rPr>
                <w:sz w:val="22"/>
                <w:szCs w:val="22"/>
              </w:rPr>
              <w:t>$58  </w:t>
            </w:r>
          </w:p>
        </w:tc>
        <w:tc>
          <w:tcPr>
            <w:tcW w:w="1581" w:type="dxa"/>
            <w:vAlign w:val="center"/>
            <w:hideMark/>
          </w:tcPr>
          <w:p w14:paraId="228D16E3" w14:textId="77777777" w:rsidR="00271DB3" w:rsidRDefault="00271DB3">
            <w:pPr>
              <w:jc w:val="center"/>
              <w:rPr>
                <w:sz w:val="22"/>
                <w:szCs w:val="22"/>
              </w:rPr>
            </w:pPr>
            <w:r>
              <w:rPr>
                <w:sz w:val="22"/>
                <w:szCs w:val="22"/>
              </w:rPr>
              <w:t>$73  </w:t>
            </w:r>
          </w:p>
        </w:tc>
      </w:tr>
      <w:tr w:rsidR="00271DB3" w14:paraId="62F528E7" w14:textId="77777777" w:rsidTr="00602481">
        <w:trPr>
          <w:trHeight w:hRule="exact" w:val="288"/>
        </w:trPr>
        <w:tc>
          <w:tcPr>
            <w:tcW w:w="2561" w:type="dxa"/>
            <w:vMerge/>
            <w:vAlign w:val="center"/>
            <w:hideMark/>
          </w:tcPr>
          <w:p w14:paraId="22542250" w14:textId="77777777" w:rsidR="00271DB3" w:rsidRDefault="00271DB3">
            <w:pPr>
              <w:rPr>
                <w:b/>
                <w:bCs/>
                <w:sz w:val="22"/>
                <w:szCs w:val="22"/>
              </w:rPr>
            </w:pPr>
          </w:p>
        </w:tc>
        <w:tc>
          <w:tcPr>
            <w:tcW w:w="3702" w:type="dxa"/>
            <w:vAlign w:val="center"/>
            <w:hideMark/>
          </w:tcPr>
          <w:p w14:paraId="10B52B49" w14:textId="77777777" w:rsidR="00271DB3" w:rsidRDefault="00271DB3">
            <w:pPr>
              <w:rPr>
                <w:sz w:val="22"/>
                <w:szCs w:val="22"/>
              </w:rPr>
            </w:pPr>
            <w:r>
              <w:rPr>
                <w:sz w:val="22"/>
                <w:szCs w:val="22"/>
              </w:rPr>
              <w:t>Educational  </w:t>
            </w:r>
          </w:p>
        </w:tc>
        <w:tc>
          <w:tcPr>
            <w:tcW w:w="1521" w:type="dxa"/>
            <w:vAlign w:val="center"/>
            <w:hideMark/>
          </w:tcPr>
          <w:p w14:paraId="114A494B" w14:textId="77777777" w:rsidR="00271DB3" w:rsidRDefault="00271DB3">
            <w:pPr>
              <w:jc w:val="center"/>
              <w:rPr>
                <w:sz w:val="22"/>
                <w:szCs w:val="22"/>
              </w:rPr>
            </w:pPr>
            <w:r>
              <w:rPr>
                <w:sz w:val="22"/>
                <w:szCs w:val="22"/>
              </w:rPr>
              <w:t>$58  </w:t>
            </w:r>
          </w:p>
        </w:tc>
        <w:tc>
          <w:tcPr>
            <w:tcW w:w="1581" w:type="dxa"/>
            <w:vAlign w:val="center"/>
            <w:hideMark/>
          </w:tcPr>
          <w:p w14:paraId="69EA7771" w14:textId="77777777" w:rsidR="00271DB3" w:rsidRDefault="00271DB3">
            <w:pPr>
              <w:jc w:val="center"/>
              <w:rPr>
                <w:sz w:val="22"/>
                <w:szCs w:val="22"/>
              </w:rPr>
            </w:pPr>
            <w:r>
              <w:rPr>
                <w:sz w:val="22"/>
                <w:szCs w:val="22"/>
              </w:rPr>
              <w:t>$73  </w:t>
            </w:r>
          </w:p>
        </w:tc>
      </w:tr>
      <w:tr w:rsidR="00271DB3" w14:paraId="159F84E8" w14:textId="77777777" w:rsidTr="00602481">
        <w:trPr>
          <w:trHeight w:hRule="exact" w:val="288"/>
        </w:trPr>
        <w:tc>
          <w:tcPr>
            <w:tcW w:w="2561" w:type="dxa"/>
            <w:vMerge/>
            <w:vAlign w:val="center"/>
            <w:hideMark/>
          </w:tcPr>
          <w:p w14:paraId="722F139C" w14:textId="77777777" w:rsidR="00271DB3" w:rsidRDefault="00271DB3">
            <w:pPr>
              <w:rPr>
                <w:b/>
                <w:bCs/>
                <w:sz w:val="22"/>
                <w:szCs w:val="22"/>
              </w:rPr>
            </w:pPr>
          </w:p>
        </w:tc>
        <w:tc>
          <w:tcPr>
            <w:tcW w:w="3702" w:type="dxa"/>
            <w:vAlign w:val="center"/>
            <w:hideMark/>
          </w:tcPr>
          <w:p w14:paraId="131044E1" w14:textId="77777777" w:rsidR="00271DB3" w:rsidRDefault="00271DB3">
            <w:pPr>
              <w:rPr>
                <w:sz w:val="22"/>
                <w:szCs w:val="22"/>
              </w:rPr>
            </w:pPr>
            <w:r>
              <w:rPr>
                <w:sz w:val="22"/>
                <w:szCs w:val="22"/>
              </w:rPr>
              <w:t>Radiographic/Other  </w:t>
            </w:r>
          </w:p>
        </w:tc>
        <w:tc>
          <w:tcPr>
            <w:tcW w:w="1521" w:type="dxa"/>
            <w:vAlign w:val="center"/>
            <w:hideMark/>
          </w:tcPr>
          <w:p w14:paraId="722F334B" w14:textId="77777777" w:rsidR="00271DB3" w:rsidRDefault="00271DB3">
            <w:pPr>
              <w:jc w:val="center"/>
              <w:rPr>
                <w:sz w:val="22"/>
                <w:szCs w:val="22"/>
              </w:rPr>
            </w:pPr>
            <w:r>
              <w:rPr>
                <w:sz w:val="22"/>
                <w:szCs w:val="22"/>
              </w:rPr>
              <w:t>$58  </w:t>
            </w:r>
          </w:p>
        </w:tc>
        <w:tc>
          <w:tcPr>
            <w:tcW w:w="1581" w:type="dxa"/>
            <w:vAlign w:val="center"/>
            <w:hideMark/>
          </w:tcPr>
          <w:p w14:paraId="17CFAFFF" w14:textId="77777777" w:rsidR="00271DB3" w:rsidRDefault="00271DB3">
            <w:pPr>
              <w:jc w:val="center"/>
              <w:rPr>
                <w:sz w:val="22"/>
                <w:szCs w:val="22"/>
              </w:rPr>
            </w:pPr>
            <w:r>
              <w:rPr>
                <w:sz w:val="22"/>
                <w:szCs w:val="22"/>
              </w:rPr>
              <w:t>$73  </w:t>
            </w:r>
          </w:p>
        </w:tc>
      </w:tr>
      <w:tr w:rsidR="00271DB3" w14:paraId="5225431F" w14:textId="77777777" w:rsidTr="00602481">
        <w:trPr>
          <w:trHeight w:hRule="exact" w:val="288"/>
        </w:trPr>
        <w:tc>
          <w:tcPr>
            <w:tcW w:w="2561" w:type="dxa"/>
            <w:vMerge w:val="restart"/>
            <w:hideMark/>
          </w:tcPr>
          <w:p w14:paraId="23BA85C2" w14:textId="77777777" w:rsidR="00271DB3" w:rsidRDefault="00271DB3">
            <w:pPr>
              <w:rPr>
                <w:b/>
                <w:bCs/>
                <w:sz w:val="22"/>
                <w:szCs w:val="22"/>
              </w:rPr>
            </w:pPr>
            <w:r>
              <w:rPr>
                <w:b/>
                <w:bCs/>
                <w:sz w:val="22"/>
                <w:szCs w:val="22"/>
              </w:rPr>
              <w:t>Veterinary</w:t>
            </w:r>
            <w:r>
              <w:rPr>
                <w:sz w:val="22"/>
                <w:szCs w:val="22"/>
              </w:rPr>
              <w:t>  </w:t>
            </w:r>
          </w:p>
        </w:tc>
        <w:tc>
          <w:tcPr>
            <w:tcW w:w="3702" w:type="dxa"/>
            <w:vAlign w:val="center"/>
            <w:hideMark/>
          </w:tcPr>
          <w:p w14:paraId="45AA3646" w14:textId="77777777" w:rsidR="00271DB3" w:rsidRDefault="00271DB3">
            <w:pPr>
              <w:rPr>
                <w:sz w:val="22"/>
                <w:szCs w:val="22"/>
              </w:rPr>
            </w:pPr>
            <w:r>
              <w:rPr>
                <w:sz w:val="22"/>
                <w:szCs w:val="22"/>
              </w:rPr>
              <w:t>Radiographic  </w:t>
            </w:r>
          </w:p>
        </w:tc>
        <w:tc>
          <w:tcPr>
            <w:tcW w:w="1521" w:type="dxa"/>
            <w:vAlign w:val="center"/>
            <w:hideMark/>
          </w:tcPr>
          <w:p w14:paraId="2DF0EA41" w14:textId="77777777" w:rsidR="00271DB3" w:rsidRDefault="00271DB3">
            <w:pPr>
              <w:jc w:val="center"/>
              <w:rPr>
                <w:sz w:val="22"/>
                <w:szCs w:val="22"/>
              </w:rPr>
            </w:pPr>
            <w:r>
              <w:rPr>
                <w:sz w:val="22"/>
                <w:szCs w:val="22"/>
              </w:rPr>
              <w:t>$77  </w:t>
            </w:r>
          </w:p>
        </w:tc>
        <w:tc>
          <w:tcPr>
            <w:tcW w:w="1581" w:type="dxa"/>
            <w:vAlign w:val="center"/>
            <w:hideMark/>
          </w:tcPr>
          <w:p w14:paraId="0E579CC1" w14:textId="77777777" w:rsidR="00271DB3" w:rsidRDefault="00271DB3">
            <w:pPr>
              <w:jc w:val="center"/>
              <w:rPr>
                <w:sz w:val="22"/>
                <w:szCs w:val="22"/>
              </w:rPr>
            </w:pPr>
            <w:r>
              <w:rPr>
                <w:sz w:val="22"/>
                <w:szCs w:val="22"/>
              </w:rPr>
              <w:t>$97  </w:t>
            </w:r>
          </w:p>
        </w:tc>
      </w:tr>
      <w:tr w:rsidR="00271DB3" w14:paraId="0FE44B60" w14:textId="77777777" w:rsidTr="00602481">
        <w:trPr>
          <w:trHeight w:hRule="exact" w:val="288"/>
        </w:trPr>
        <w:tc>
          <w:tcPr>
            <w:tcW w:w="2561" w:type="dxa"/>
            <w:vMerge/>
            <w:vAlign w:val="center"/>
            <w:hideMark/>
          </w:tcPr>
          <w:p w14:paraId="7A8CE023" w14:textId="77777777" w:rsidR="00271DB3" w:rsidRDefault="00271DB3">
            <w:pPr>
              <w:rPr>
                <w:b/>
                <w:bCs/>
                <w:sz w:val="22"/>
                <w:szCs w:val="22"/>
              </w:rPr>
            </w:pPr>
          </w:p>
        </w:tc>
        <w:tc>
          <w:tcPr>
            <w:tcW w:w="3702" w:type="dxa"/>
            <w:vAlign w:val="center"/>
            <w:hideMark/>
          </w:tcPr>
          <w:p w14:paraId="097FA3CB" w14:textId="77777777" w:rsidR="00271DB3" w:rsidRDefault="00271DB3">
            <w:pPr>
              <w:rPr>
                <w:sz w:val="22"/>
                <w:szCs w:val="22"/>
              </w:rPr>
            </w:pPr>
            <w:r>
              <w:rPr>
                <w:sz w:val="22"/>
                <w:szCs w:val="22"/>
              </w:rPr>
              <w:t>Portable  </w:t>
            </w:r>
          </w:p>
        </w:tc>
        <w:tc>
          <w:tcPr>
            <w:tcW w:w="1521" w:type="dxa"/>
            <w:vAlign w:val="center"/>
            <w:hideMark/>
          </w:tcPr>
          <w:p w14:paraId="00BB46A4" w14:textId="77777777" w:rsidR="00271DB3" w:rsidRDefault="00271DB3">
            <w:pPr>
              <w:jc w:val="center"/>
              <w:rPr>
                <w:sz w:val="22"/>
                <w:szCs w:val="22"/>
              </w:rPr>
            </w:pPr>
            <w:r>
              <w:rPr>
                <w:sz w:val="22"/>
                <w:szCs w:val="22"/>
              </w:rPr>
              <w:t>$77  </w:t>
            </w:r>
          </w:p>
        </w:tc>
        <w:tc>
          <w:tcPr>
            <w:tcW w:w="1581" w:type="dxa"/>
            <w:vAlign w:val="center"/>
            <w:hideMark/>
          </w:tcPr>
          <w:p w14:paraId="2B91B548" w14:textId="77777777" w:rsidR="00271DB3" w:rsidRDefault="00271DB3">
            <w:pPr>
              <w:jc w:val="center"/>
              <w:rPr>
                <w:sz w:val="22"/>
                <w:szCs w:val="22"/>
              </w:rPr>
            </w:pPr>
            <w:r>
              <w:rPr>
                <w:sz w:val="22"/>
                <w:szCs w:val="22"/>
              </w:rPr>
              <w:t>$97  </w:t>
            </w:r>
          </w:p>
        </w:tc>
      </w:tr>
      <w:tr w:rsidR="00271DB3" w14:paraId="2A41AF3D" w14:textId="77777777" w:rsidTr="00602481">
        <w:trPr>
          <w:trHeight w:hRule="exact" w:val="288"/>
        </w:trPr>
        <w:tc>
          <w:tcPr>
            <w:tcW w:w="2561" w:type="dxa"/>
            <w:vMerge/>
            <w:vAlign w:val="center"/>
            <w:hideMark/>
          </w:tcPr>
          <w:p w14:paraId="442C540A" w14:textId="77777777" w:rsidR="00271DB3" w:rsidRDefault="00271DB3">
            <w:pPr>
              <w:rPr>
                <w:b/>
                <w:bCs/>
                <w:sz w:val="22"/>
                <w:szCs w:val="22"/>
              </w:rPr>
            </w:pPr>
          </w:p>
        </w:tc>
        <w:tc>
          <w:tcPr>
            <w:tcW w:w="3702" w:type="dxa"/>
            <w:vAlign w:val="center"/>
            <w:hideMark/>
          </w:tcPr>
          <w:p w14:paraId="73A0E1A1" w14:textId="77777777" w:rsidR="00271DB3" w:rsidRDefault="00271DB3">
            <w:pPr>
              <w:rPr>
                <w:sz w:val="22"/>
                <w:szCs w:val="22"/>
              </w:rPr>
            </w:pPr>
            <w:r>
              <w:rPr>
                <w:sz w:val="22"/>
                <w:szCs w:val="22"/>
              </w:rPr>
              <w:t>Dental  </w:t>
            </w:r>
          </w:p>
        </w:tc>
        <w:tc>
          <w:tcPr>
            <w:tcW w:w="1521" w:type="dxa"/>
            <w:vAlign w:val="center"/>
            <w:hideMark/>
          </w:tcPr>
          <w:p w14:paraId="7DFCC57C" w14:textId="77777777" w:rsidR="00271DB3" w:rsidRDefault="00271DB3">
            <w:pPr>
              <w:jc w:val="center"/>
              <w:rPr>
                <w:sz w:val="22"/>
                <w:szCs w:val="22"/>
              </w:rPr>
            </w:pPr>
            <w:r>
              <w:rPr>
                <w:sz w:val="22"/>
                <w:szCs w:val="22"/>
              </w:rPr>
              <w:t>$77  </w:t>
            </w:r>
          </w:p>
        </w:tc>
        <w:tc>
          <w:tcPr>
            <w:tcW w:w="1581" w:type="dxa"/>
            <w:vAlign w:val="center"/>
            <w:hideMark/>
          </w:tcPr>
          <w:p w14:paraId="65312ABE" w14:textId="77777777" w:rsidR="00271DB3" w:rsidRDefault="00271DB3">
            <w:pPr>
              <w:jc w:val="center"/>
              <w:rPr>
                <w:sz w:val="22"/>
                <w:szCs w:val="22"/>
              </w:rPr>
            </w:pPr>
            <w:r>
              <w:rPr>
                <w:sz w:val="22"/>
                <w:szCs w:val="22"/>
              </w:rPr>
              <w:t>$97  </w:t>
            </w:r>
          </w:p>
        </w:tc>
      </w:tr>
      <w:tr w:rsidR="00271DB3" w14:paraId="7D3710BE" w14:textId="77777777" w:rsidTr="00602481">
        <w:trPr>
          <w:trHeight w:hRule="exact" w:val="288"/>
        </w:trPr>
        <w:tc>
          <w:tcPr>
            <w:tcW w:w="2561" w:type="dxa"/>
            <w:vMerge/>
            <w:vAlign w:val="center"/>
            <w:hideMark/>
          </w:tcPr>
          <w:p w14:paraId="34EC866F" w14:textId="77777777" w:rsidR="00271DB3" w:rsidRDefault="00271DB3">
            <w:pPr>
              <w:rPr>
                <w:b/>
                <w:bCs/>
                <w:sz w:val="22"/>
                <w:szCs w:val="22"/>
              </w:rPr>
            </w:pPr>
          </w:p>
        </w:tc>
        <w:tc>
          <w:tcPr>
            <w:tcW w:w="3702" w:type="dxa"/>
            <w:vAlign w:val="center"/>
            <w:hideMark/>
          </w:tcPr>
          <w:p w14:paraId="70EE30E7" w14:textId="77777777" w:rsidR="00271DB3" w:rsidRDefault="00271DB3">
            <w:pPr>
              <w:rPr>
                <w:sz w:val="22"/>
                <w:szCs w:val="22"/>
              </w:rPr>
            </w:pPr>
            <w:r>
              <w:rPr>
                <w:sz w:val="22"/>
                <w:szCs w:val="22"/>
              </w:rPr>
              <w:t>Cone Beam CT  </w:t>
            </w:r>
          </w:p>
        </w:tc>
        <w:tc>
          <w:tcPr>
            <w:tcW w:w="1521" w:type="dxa"/>
            <w:vAlign w:val="center"/>
            <w:hideMark/>
          </w:tcPr>
          <w:p w14:paraId="7CD71349" w14:textId="77777777" w:rsidR="00271DB3" w:rsidRDefault="00271DB3">
            <w:pPr>
              <w:jc w:val="center"/>
              <w:rPr>
                <w:sz w:val="22"/>
                <w:szCs w:val="22"/>
              </w:rPr>
            </w:pPr>
            <w:r>
              <w:rPr>
                <w:sz w:val="22"/>
                <w:szCs w:val="22"/>
              </w:rPr>
              <w:t>$77  </w:t>
            </w:r>
          </w:p>
        </w:tc>
        <w:tc>
          <w:tcPr>
            <w:tcW w:w="1581" w:type="dxa"/>
            <w:vAlign w:val="center"/>
            <w:hideMark/>
          </w:tcPr>
          <w:p w14:paraId="620BE402" w14:textId="77777777" w:rsidR="00271DB3" w:rsidRDefault="00271DB3">
            <w:pPr>
              <w:jc w:val="center"/>
              <w:rPr>
                <w:sz w:val="22"/>
                <w:szCs w:val="22"/>
              </w:rPr>
            </w:pPr>
            <w:r>
              <w:rPr>
                <w:sz w:val="22"/>
                <w:szCs w:val="22"/>
              </w:rPr>
              <w:t>$97  </w:t>
            </w:r>
          </w:p>
        </w:tc>
      </w:tr>
      <w:tr w:rsidR="00271DB3" w14:paraId="05A865F5" w14:textId="77777777" w:rsidTr="00602481">
        <w:trPr>
          <w:trHeight w:hRule="exact" w:val="288"/>
        </w:trPr>
        <w:tc>
          <w:tcPr>
            <w:tcW w:w="2561" w:type="dxa"/>
            <w:vMerge/>
            <w:vAlign w:val="center"/>
            <w:hideMark/>
          </w:tcPr>
          <w:p w14:paraId="448A3811" w14:textId="77777777" w:rsidR="00271DB3" w:rsidRDefault="00271DB3">
            <w:pPr>
              <w:rPr>
                <w:b/>
                <w:bCs/>
                <w:sz w:val="22"/>
                <w:szCs w:val="22"/>
              </w:rPr>
            </w:pPr>
          </w:p>
        </w:tc>
        <w:tc>
          <w:tcPr>
            <w:tcW w:w="3702" w:type="dxa"/>
            <w:vAlign w:val="center"/>
            <w:hideMark/>
          </w:tcPr>
          <w:p w14:paraId="0595C583" w14:textId="77777777" w:rsidR="00271DB3" w:rsidRDefault="00271DB3">
            <w:pPr>
              <w:rPr>
                <w:sz w:val="22"/>
                <w:szCs w:val="22"/>
              </w:rPr>
            </w:pPr>
            <w:r>
              <w:rPr>
                <w:sz w:val="22"/>
                <w:szCs w:val="22"/>
              </w:rPr>
              <w:t>Fluoroscopic  </w:t>
            </w:r>
          </w:p>
        </w:tc>
        <w:tc>
          <w:tcPr>
            <w:tcW w:w="1521" w:type="dxa"/>
            <w:vAlign w:val="center"/>
            <w:hideMark/>
          </w:tcPr>
          <w:p w14:paraId="5DC6E431" w14:textId="77777777" w:rsidR="00271DB3" w:rsidRDefault="00271DB3">
            <w:pPr>
              <w:jc w:val="center"/>
              <w:rPr>
                <w:sz w:val="22"/>
                <w:szCs w:val="22"/>
              </w:rPr>
            </w:pPr>
            <w:r>
              <w:rPr>
                <w:sz w:val="22"/>
                <w:szCs w:val="22"/>
              </w:rPr>
              <w:t>$112  </w:t>
            </w:r>
          </w:p>
        </w:tc>
        <w:tc>
          <w:tcPr>
            <w:tcW w:w="1581" w:type="dxa"/>
            <w:vAlign w:val="center"/>
            <w:hideMark/>
          </w:tcPr>
          <w:p w14:paraId="322D0F15" w14:textId="77777777" w:rsidR="00271DB3" w:rsidRDefault="00271DB3">
            <w:pPr>
              <w:jc w:val="center"/>
              <w:rPr>
                <w:sz w:val="22"/>
                <w:szCs w:val="22"/>
              </w:rPr>
            </w:pPr>
            <w:r>
              <w:rPr>
                <w:sz w:val="22"/>
                <w:szCs w:val="22"/>
              </w:rPr>
              <w:t>$141 </w:t>
            </w:r>
          </w:p>
        </w:tc>
      </w:tr>
      <w:tr w:rsidR="00271DB3" w14:paraId="593B4898" w14:textId="77777777" w:rsidTr="00602481">
        <w:trPr>
          <w:trHeight w:hRule="exact" w:val="288"/>
        </w:trPr>
        <w:tc>
          <w:tcPr>
            <w:tcW w:w="2561" w:type="dxa"/>
            <w:vMerge/>
            <w:vAlign w:val="center"/>
            <w:hideMark/>
          </w:tcPr>
          <w:p w14:paraId="285C2CDD" w14:textId="77777777" w:rsidR="00271DB3" w:rsidRDefault="00271DB3">
            <w:pPr>
              <w:rPr>
                <w:b/>
                <w:bCs/>
                <w:sz w:val="22"/>
                <w:szCs w:val="22"/>
              </w:rPr>
            </w:pPr>
          </w:p>
        </w:tc>
        <w:tc>
          <w:tcPr>
            <w:tcW w:w="3702" w:type="dxa"/>
            <w:vAlign w:val="center"/>
            <w:hideMark/>
          </w:tcPr>
          <w:p w14:paraId="7331F159" w14:textId="77777777" w:rsidR="00271DB3" w:rsidRDefault="00271DB3">
            <w:pPr>
              <w:rPr>
                <w:sz w:val="22"/>
                <w:szCs w:val="22"/>
              </w:rPr>
            </w:pPr>
            <w:r>
              <w:rPr>
                <w:sz w:val="22"/>
                <w:szCs w:val="22"/>
              </w:rPr>
              <w:t>Computed Tomography  </w:t>
            </w:r>
          </w:p>
        </w:tc>
        <w:tc>
          <w:tcPr>
            <w:tcW w:w="1521" w:type="dxa"/>
            <w:vAlign w:val="center"/>
            <w:hideMark/>
          </w:tcPr>
          <w:p w14:paraId="5E04E615" w14:textId="77777777" w:rsidR="00271DB3" w:rsidRDefault="00271DB3">
            <w:pPr>
              <w:jc w:val="center"/>
              <w:rPr>
                <w:sz w:val="22"/>
                <w:szCs w:val="22"/>
              </w:rPr>
            </w:pPr>
            <w:r>
              <w:rPr>
                <w:sz w:val="22"/>
                <w:szCs w:val="22"/>
              </w:rPr>
              <w:t>$191  </w:t>
            </w:r>
          </w:p>
        </w:tc>
        <w:tc>
          <w:tcPr>
            <w:tcW w:w="1581" w:type="dxa"/>
            <w:vAlign w:val="center"/>
            <w:hideMark/>
          </w:tcPr>
          <w:p w14:paraId="7CFB8C1E" w14:textId="77777777" w:rsidR="00271DB3" w:rsidRDefault="00271DB3">
            <w:pPr>
              <w:jc w:val="center"/>
              <w:rPr>
                <w:sz w:val="22"/>
                <w:szCs w:val="22"/>
              </w:rPr>
            </w:pPr>
            <w:r>
              <w:rPr>
                <w:sz w:val="22"/>
                <w:szCs w:val="22"/>
              </w:rPr>
              <w:t>$240 </w:t>
            </w:r>
          </w:p>
        </w:tc>
      </w:tr>
      <w:tr w:rsidR="00271DB3" w14:paraId="3B37D62F" w14:textId="77777777" w:rsidTr="00602481">
        <w:trPr>
          <w:trHeight w:hRule="exact" w:val="288"/>
        </w:trPr>
        <w:tc>
          <w:tcPr>
            <w:tcW w:w="2561" w:type="dxa"/>
            <w:vMerge w:val="restart"/>
            <w:hideMark/>
          </w:tcPr>
          <w:p w14:paraId="525CC60F" w14:textId="77777777" w:rsidR="00271DB3" w:rsidRDefault="00271DB3">
            <w:pPr>
              <w:rPr>
                <w:b/>
                <w:bCs/>
                <w:sz w:val="22"/>
                <w:szCs w:val="22"/>
              </w:rPr>
            </w:pPr>
            <w:r>
              <w:rPr>
                <w:b/>
                <w:bCs/>
                <w:sz w:val="22"/>
                <w:szCs w:val="22"/>
              </w:rPr>
              <w:t>Podiatry</w:t>
            </w:r>
            <w:r>
              <w:rPr>
                <w:sz w:val="22"/>
                <w:szCs w:val="22"/>
              </w:rPr>
              <w:t>  </w:t>
            </w:r>
          </w:p>
        </w:tc>
        <w:tc>
          <w:tcPr>
            <w:tcW w:w="3702" w:type="dxa"/>
            <w:vAlign w:val="center"/>
            <w:hideMark/>
          </w:tcPr>
          <w:p w14:paraId="4C271B4B" w14:textId="77777777" w:rsidR="00271DB3" w:rsidRDefault="00271DB3">
            <w:pPr>
              <w:rPr>
                <w:sz w:val="22"/>
                <w:szCs w:val="22"/>
              </w:rPr>
            </w:pPr>
            <w:r>
              <w:rPr>
                <w:sz w:val="22"/>
                <w:szCs w:val="22"/>
              </w:rPr>
              <w:t>Radiographic  </w:t>
            </w:r>
          </w:p>
        </w:tc>
        <w:tc>
          <w:tcPr>
            <w:tcW w:w="1521" w:type="dxa"/>
            <w:vAlign w:val="center"/>
            <w:hideMark/>
          </w:tcPr>
          <w:p w14:paraId="134EF107" w14:textId="77777777" w:rsidR="00271DB3" w:rsidRDefault="00271DB3">
            <w:pPr>
              <w:jc w:val="center"/>
              <w:rPr>
                <w:sz w:val="22"/>
                <w:szCs w:val="22"/>
              </w:rPr>
            </w:pPr>
            <w:r>
              <w:rPr>
                <w:sz w:val="22"/>
                <w:szCs w:val="22"/>
              </w:rPr>
              <w:t>$86  </w:t>
            </w:r>
          </w:p>
        </w:tc>
        <w:tc>
          <w:tcPr>
            <w:tcW w:w="1581" w:type="dxa"/>
            <w:vAlign w:val="center"/>
            <w:hideMark/>
          </w:tcPr>
          <w:p w14:paraId="568158C8" w14:textId="77777777" w:rsidR="00271DB3" w:rsidRDefault="00271DB3">
            <w:pPr>
              <w:jc w:val="center"/>
              <w:rPr>
                <w:sz w:val="22"/>
                <w:szCs w:val="22"/>
              </w:rPr>
            </w:pPr>
            <w:r>
              <w:rPr>
                <w:sz w:val="22"/>
                <w:szCs w:val="22"/>
              </w:rPr>
              <w:t>$108 </w:t>
            </w:r>
          </w:p>
        </w:tc>
      </w:tr>
      <w:tr w:rsidR="00271DB3" w14:paraId="285A760F" w14:textId="77777777" w:rsidTr="00602481">
        <w:trPr>
          <w:trHeight w:hRule="exact" w:val="288"/>
        </w:trPr>
        <w:tc>
          <w:tcPr>
            <w:tcW w:w="2561" w:type="dxa"/>
            <w:vMerge/>
            <w:vAlign w:val="center"/>
            <w:hideMark/>
          </w:tcPr>
          <w:p w14:paraId="6820A7A2" w14:textId="77777777" w:rsidR="00271DB3" w:rsidRDefault="00271DB3">
            <w:pPr>
              <w:rPr>
                <w:b/>
                <w:bCs/>
                <w:sz w:val="22"/>
                <w:szCs w:val="22"/>
              </w:rPr>
            </w:pPr>
          </w:p>
        </w:tc>
        <w:tc>
          <w:tcPr>
            <w:tcW w:w="3702" w:type="dxa"/>
            <w:vAlign w:val="center"/>
            <w:hideMark/>
          </w:tcPr>
          <w:p w14:paraId="47CBD488" w14:textId="77777777" w:rsidR="00271DB3" w:rsidRDefault="00271DB3">
            <w:pPr>
              <w:rPr>
                <w:sz w:val="22"/>
                <w:szCs w:val="22"/>
              </w:rPr>
            </w:pPr>
            <w:r>
              <w:rPr>
                <w:sz w:val="22"/>
                <w:szCs w:val="22"/>
              </w:rPr>
              <w:t>Cone Beam CT  </w:t>
            </w:r>
          </w:p>
        </w:tc>
        <w:tc>
          <w:tcPr>
            <w:tcW w:w="1521" w:type="dxa"/>
            <w:vAlign w:val="center"/>
            <w:hideMark/>
          </w:tcPr>
          <w:p w14:paraId="71A547B6" w14:textId="77777777" w:rsidR="00271DB3" w:rsidRDefault="00271DB3">
            <w:pPr>
              <w:jc w:val="center"/>
              <w:rPr>
                <w:sz w:val="22"/>
                <w:szCs w:val="22"/>
              </w:rPr>
            </w:pPr>
            <w:r>
              <w:rPr>
                <w:sz w:val="22"/>
                <w:szCs w:val="22"/>
              </w:rPr>
              <w:t>$86  </w:t>
            </w:r>
          </w:p>
        </w:tc>
        <w:tc>
          <w:tcPr>
            <w:tcW w:w="1581" w:type="dxa"/>
            <w:vAlign w:val="center"/>
            <w:hideMark/>
          </w:tcPr>
          <w:p w14:paraId="6CBCF6F1" w14:textId="77777777" w:rsidR="00271DB3" w:rsidRDefault="00271DB3">
            <w:pPr>
              <w:jc w:val="center"/>
              <w:rPr>
                <w:sz w:val="22"/>
                <w:szCs w:val="22"/>
              </w:rPr>
            </w:pPr>
            <w:r>
              <w:rPr>
                <w:sz w:val="22"/>
                <w:szCs w:val="22"/>
              </w:rPr>
              <w:t>$108 </w:t>
            </w:r>
          </w:p>
        </w:tc>
      </w:tr>
      <w:tr w:rsidR="00271DB3" w14:paraId="52753D29" w14:textId="77777777" w:rsidTr="00602481">
        <w:trPr>
          <w:trHeight w:hRule="exact" w:val="288"/>
        </w:trPr>
        <w:tc>
          <w:tcPr>
            <w:tcW w:w="2561" w:type="dxa"/>
            <w:vMerge/>
            <w:vAlign w:val="center"/>
            <w:hideMark/>
          </w:tcPr>
          <w:p w14:paraId="316FF6B1" w14:textId="77777777" w:rsidR="00271DB3" w:rsidRDefault="00271DB3">
            <w:pPr>
              <w:rPr>
                <w:b/>
                <w:bCs/>
                <w:sz w:val="22"/>
                <w:szCs w:val="22"/>
              </w:rPr>
            </w:pPr>
          </w:p>
        </w:tc>
        <w:tc>
          <w:tcPr>
            <w:tcW w:w="3702" w:type="dxa"/>
            <w:vAlign w:val="center"/>
            <w:hideMark/>
          </w:tcPr>
          <w:p w14:paraId="2F57A497" w14:textId="77777777" w:rsidR="00271DB3" w:rsidRDefault="00271DB3">
            <w:pPr>
              <w:rPr>
                <w:sz w:val="22"/>
                <w:szCs w:val="22"/>
              </w:rPr>
            </w:pPr>
            <w:r>
              <w:rPr>
                <w:sz w:val="22"/>
                <w:szCs w:val="22"/>
              </w:rPr>
              <w:t>Educational  </w:t>
            </w:r>
          </w:p>
        </w:tc>
        <w:tc>
          <w:tcPr>
            <w:tcW w:w="1521" w:type="dxa"/>
            <w:vAlign w:val="center"/>
            <w:hideMark/>
          </w:tcPr>
          <w:p w14:paraId="505208D9" w14:textId="77777777" w:rsidR="00271DB3" w:rsidRDefault="00271DB3">
            <w:pPr>
              <w:jc w:val="center"/>
              <w:rPr>
                <w:sz w:val="22"/>
                <w:szCs w:val="22"/>
              </w:rPr>
            </w:pPr>
            <w:r>
              <w:rPr>
                <w:sz w:val="22"/>
                <w:szCs w:val="22"/>
              </w:rPr>
              <w:t>$86  </w:t>
            </w:r>
          </w:p>
        </w:tc>
        <w:tc>
          <w:tcPr>
            <w:tcW w:w="1581" w:type="dxa"/>
            <w:vAlign w:val="center"/>
            <w:hideMark/>
          </w:tcPr>
          <w:p w14:paraId="762A5E6C" w14:textId="77777777" w:rsidR="00271DB3" w:rsidRDefault="00271DB3">
            <w:pPr>
              <w:jc w:val="center"/>
              <w:rPr>
                <w:sz w:val="22"/>
                <w:szCs w:val="22"/>
              </w:rPr>
            </w:pPr>
            <w:r>
              <w:rPr>
                <w:sz w:val="22"/>
                <w:szCs w:val="22"/>
              </w:rPr>
              <w:t>$108 </w:t>
            </w:r>
          </w:p>
        </w:tc>
      </w:tr>
      <w:tr w:rsidR="00271DB3" w14:paraId="229B4B28" w14:textId="77777777" w:rsidTr="00602481">
        <w:trPr>
          <w:trHeight w:hRule="exact" w:val="288"/>
        </w:trPr>
        <w:tc>
          <w:tcPr>
            <w:tcW w:w="2561" w:type="dxa"/>
            <w:vMerge/>
            <w:vAlign w:val="center"/>
            <w:hideMark/>
          </w:tcPr>
          <w:p w14:paraId="76B82555" w14:textId="77777777" w:rsidR="00271DB3" w:rsidRDefault="00271DB3">
            <w:pPr>
              <w:rPr>
                <w:b/>
                <w:bCs/>
                <w:sz w:val="22"/>
                <w:szCs w:val="22"/>
              </w:rPr>
            </w:pPr>
          </w:p>
        </w:tc>
        <w:tc>
          <w:tcPr>
            <w:tcW w:w="3702" w:type="dxa"/>
            <w:vAlign w:val="center"/>
            <w:hideMark/>
          </w:tcPr>
          <w:p w14:paraId="117D2D1C" w14:textId="77777777" w:rsidR="00271DB3" w:rsidRDefault="00271DB3">
            <w:pPr>
              <w:rPr>
                <w:sz w:val="22"/>
                <w:szCs w:val="22"/>
              </w:rPr>
            </w:pPr>
            <w:r>
              <w:rPr>
                <w:sz w:val="22"/>
                <w:szCs w:val="22"/>
              </w:rPr>
              <w:t>Handheld  </w:t>
            </w:r>
          </w:p>
        </w:tc>
        <w:tc>
          <w:tcPr>
            <w:tcW w:w="1521" w:type="dxa"/>
            <w:vAlign w:val="center"/>
            <w:hideMark/>
          </w:tcPr>
          <w:p w14:paraId="0A384F23" w14:textId="77777777" w:rsidR="00271DB3" w:rsidRDefault="00271DB3">
            <w:pPr>
              <w:jc w:val="center"/>
              <w:rPr>
                <w:sz w:val="22"/>
                <w:szCs w:val="22"/>
              </w:rPr>
            </w:pPr>
            <w:r>
              <w:rPr>
                <w:sz w:val="22"/>
                <w:szCs w:val="22"/>
              </w:rPr>
              <w:t>$86  </w:t>
            </w:r>
          </w:p>
        </w:tc>
        <w:tc>
          <w:tcPr>
            <w:tcW w:w="1581" w:type="dxa"/>
            <w:vAlign w:val="center"/>
            <w:hideMark/>
          </w:tcPr>
          <w:p w14:paraId="2D409B87" w14:textId="77777777" w:rsidR="00271DB3" w:rsidRDefault="00271DB3">
            <w:pPr>
              <w:jc w:val="center"/>
              <w:rPr>
                <w:sz w:val="22"/>
                <w:szCs w:val="22"/>
              </w:rPr>
            </w:pPr>
            <w:r>
              <w:rPr>
                <w:sz w:val="22"/>
                <w:szCs w:val="22"/>
              </w:rPr>
              <w:t>$108 </w:t>
            </w:r>
          </w:p>
        </w:tc>
      </w:tr>
      <w:tr w:rsidR="00271DB3" w14:paraId="765B261A" w14:textId="77777777" w:rsidTr="00602481">
        <w:trPr>
          <w:trHeight w:hRule="exact" w:val="288"/>
        </w:trPr>
        <w:tc>
          <w:tcPr>
            <w:tcW w:w="2561" w:type="dxa"/>
            <w:vMerge/>
            <w:vAlign w:val="center"/>
            <w:hideMark/>
          </w:tcPr>
          <w:p w14:paraId="3A9F1174" w14:textId="77777777" w:rsidR="00271DB3" w:rsidRDefault="00271DB3">
            <w:pPr>
              <w:rPr>
                <w:b/>
                <w:bCs/>
                <w:sz w:val="22"/>
                <w:szCs w:val="22"/>
              </w:rPr>
            </w:pPr>
          </w:p>
        </w:tc>
        <w:tc>
          <w:tcPr>
            <w:tcW w:w="3702" w:type="dxa"/>
            <w:vAlign w:val="center"/>
            <w:hideMark/>
          </w:tcPr>
          <w:p w14:paraId="036D5368" w14:textId="77777777" w:rsidR="00271DB3" w:rsidRDefault="00271DB3">
            <w:pPr>
              <w:rPr>
                <w:sz w:val="22"/>
                <w:szCs w:val="22"/>
              </w:rPr>
            </w:pPr>
            <w:r>
              <w:rPr>
                <w:sz w:val="22"/>
                <w:szCs w:val="22"/>
              </w:rPr>
              <w:t>Fluoroscopic  </w:t>
            </w:r>
          </w:p>
        </w:tc>
        <w:tc>
          <w:tcPr>
            <w:tcW w:w="1521" w:type="dxa"/>
            <w:vAlign w:val="center"/>
            <w:hideMark/>
          </w:tcPr>
          <w:p w14:paraId="14255C1B" w14:textId="77777777" w:rsidR="00271DB3" w:rsidRDefault="00271DB3">
            <w:pPr>
              <w:jc w:val="center"/>
              <w:rPr>
                <w:sz w:val="22"/>
                <w:szCs w:val="22"/>
              </w:rPr>
            </w:pPr>
            <w:r>
              <w:rPr>
                <w:sz w:val="22"/>
                <w:szCs w:val="22"/>
              </w:rPr>
              <w:t>$231  </w:t>
            </w:r>
          </w:p>
        </w:tc>
        <w:tc>
          <w:tcPr>
            <w:tcW w:w="1581" w:type="dxa"/>
            <w:vAlign w:val="center"/>
            <w:hideMark/>
          </w:tcPr>
          <w:p w14:paraId="784B286F" w14:textId="77777777" w:rsidR="00271DB3" w:rsidRDefault="00271DB3">
            <w:pPr>
              <w:jc w:val="center"/>
              <w:rPr>
                <w:sz w:val="22"/>
                <w:szCs w:val="22"/>
              </w:rPr>
            </w:pPr>
            <w:r>
              <w:rPr>
                <w:sz w:val="22"/>
                <w:szCs w:val="22"/>
              </w:rPr>
              <w:t>$290  </w:t>
            </w:r>
          </w:p>
        </w:tc>
      </w:tr>
      <w:tr w:rsidR="00271DB3" w14:paraId="657A5CC8" w14:textId="77777777" w:rsidTr="00602481">
        <w:trPr>
          <w:trHeight w:hRule="exact" w:val="288"/>
        </w:trPr>
        <w:tc>
          <w:tcPr>
            <w:tcW w:w="2561" w:type="dxa"/>
            <w:vMerge w:val="restart"/>
            <w:hideMark/>
          </w:tcPr>
          <w:p w14:paraId="21D1B659" w14:textId="77777777" w:rsidR="00271DB3" w:rsidRDefault="00271DB3">
            <w:pPr>
              <w:rPr>
                <w:b/>
                <w:bCs/>
                <w:sz w:val="22"/>
                <w:szCs w:val="22"/>
              </w:rPr>
            </w:pPr>
            <w:r>
              <w:rPr>
                <w:b/>
                <w:bCs/>
                <w:sz w:val="22"/>
                <w:szCs w:val="22"/>
              </w:rPr>
              <w:t>Medical Radiographic</w:t>
            </w:r>
            <w:r>
              <w:rPr>
                <w:sz w:val="22"/>
                <w:szCs w:val="22"/>
              </w:rPr>
              <w:t>  </w:t>
            </w:r>
          </w:p>
        </w:tc>
        <w:tc>
          <w:tcPr>
            <w:tcW w:w="3702" w:type="dxa"/>
            <w:vAlign w:val="center"/>
            <w:hideMark/>
          </w:tcPr>
          <w:p w14:paraId="054D3466" w14:textId="77777777" w:rsidR="00271DB3" w:rsidRDefault="00271DB3">
            <w:pPr>
              <w:rPr>
                <w:sz w:val="22"/>
                <w:szCs w:val="22"/>
              </w:rPr>
            </w:pPr>
            <w:r>
              <w:rPr>
                <w:sz w:val="22"/>
                <w:szCs w:val="22"/>
              </w:rPr>
              <w:t>Fixed  </w:t>
            </w:r>
          </w:p>
        </w:tc>
        <w:tc>
          <w:tcPr>
            <w:tcW w:w="1521" w:type="dxa"/>
            <w:vAlign w:val="center"/>
            <w:hideMark/>
          </w:tcPr>
          <w:p w14:paraId="7DDFEC24" w14:textId="77777777" w:rsidR="00271DB3" w:rsidRDefault="00271DB3">
            <w:pPr>
              <w:jc w:val="center"/>
              <w:rPr>
                <w:sz w:val="22"/>
                <w:szCs w:val="22"/>
              </w:rPr>
            </w:pPr>
            <w:r>
              <w:rPr>
                <w:sz w:val="22"/>
                <w:szCs w:val="22"/>
              </w:rPr>
              <w:t>$246  </w:t>
            </w:r>
          </w:p>
        </w:tc>
        <w:tc>
          <w:tcPr>
            <w:tcW w:w="1581" w:type="dxa"/>
            <w:vAlign w:val="center"/>
            <w:hideMark/>
          </w:tcPr>
          <w:p w14:paraId="12731F09" w14:textId="77777777" w:rsidR="00271DB3" w:rsidRDefault="00271DB3">
            <w:pPr>
              <w:jc w:val="center"/>
              <w:rPr>
                <w:sz w:val="22"/>
                <w:szCs w:val="22"/>
              </w:rPr>
            </w:pPr>
            <w:r>
              <w:rPr>
                <w:sz w:val="22"/>
                <w:szCs w:val="22"/>
              </w:rPr>
              <w:t>$309  </w:t>
            </w:r>
          </w:p>
        </w:tc>
      </w:tr>
      <w:tr w:rsidR="00271DB3" w14:paraId="0A81464B" w14:textId="77777777" w:rsidTr="00602481">
        <w:trPr>
          <w:trHeight w:hRule="exact" w:val="288"/>
        </w:trPr>
        <w:tc>
          <w:tcPr>
            <w:tcW w:w="2561" w:type="dxa"/>
            <w:vMerge/>
            <w:vAlign w:val="center"/>
            <w:hideMark/>
          </w:tcPr>
          <w:p w14:paraId="22464D8F" w14:textId="77777777" w:rsidR="00271DB3" w:rsidRDefault="00271DB3">
            <w:pPr>
              <w:rPr>
                <w:b/>
                <w:bCs/>
                <w:sz w:val="22"/>
                <w:szCs w:val="22"/>
              </w:rPr>
            </w:pPr>
          </w:p>
        </w:tc>
        <w:tc>
          <w:tcPr>
            <w:tcW w:w="3702" w:type="dxa"/>
            <w:vAlign w:val="center"/>
            <w:hideMark/>
          </w:tcPr>
          <w:p w14:paraId="7E1A25D0" w14:textId="77777777" w:rsidR="00271DB3" w:rsidRDefault="00271DB3">
            <w:pPr>
              <w:rPr>
                <w:sz w:val="22"/>
                <w:szCs w:val="22"/>
              </w:rPr>
            </w:pPr>
            <w:r>
              <w:rPr>
                <w:sz w:val="22"/>
                <w:szCs w:val="22"/>
              </w:rPr>
              <w:t>Mobile  </w:t>
            </w:r>
          </w:p>
        </w:tc>
        <w:tc>
          <w:tcPr>
            <w:tcW w:w="1521" w:type="dxa"/>
            <w:vAlign w:val="center"/>
            <w:hideMark/>
          </w:tcPr>
          <w:p w14:paraId="4C29859D" w14:textId="77777777" w:rsidR="00271DB3" w:rsidRDefault="00271DB3">
            <w:pPr>
              <w:jc w:val="center"/>
              <w:rPr>
                <w:sz w:val="22"/>
                <w:szCs w:val="22"/>
              </w:rPr>
            </w:pPr>
            <w:r>
              <w:rPr>
                <w:sz w:val="22"/>
                <w:szCs w:val="22"/>
              </w:rPr>
              <w:t>$246  </w:t>
            </w:r>
          </w:p>
        </w:tc>
        <w:tc>
          <w:tcPr>
            <w:tcW w:w="1581" w:type="dxa"/>
            <w:vAlign w:val="center"/>
            <w:hideMark/>
          </w:tcPr>
          <w:p w14:paraId="6FF7A4FC" w14:textId="77777777" w:rsidR="00271DB3" w:rsidRDefault="00271DB3">
            <w:pPr>
              <w:jc w:val="center"/>
              <w:rPr>
                <w:sz w:val="22"/>
                <w:szCs w:val="22"/>
              </w:rPr>
            </w:pPr>
            <w:r>
              <w:rPr>
                <w:sz w:val="22"/>
                <w:szCs w:val="22"/>
              </w:rPr>
              <w:t>$309  </w:t>
            </w:r>
          </w:p>
        </w:tc>
      </w:tr>
      <w:tr w:rsidR="00271DB3" w14:paraId="203CDB2A" w14:textId="77777777" w:rsidTr="00602481">
        <w:trPr>
          <w:trHeight w:hRule="exact" w:val="288"/>
        </w:trPr>
        <w:tc>
          <w:tcPr>
            <w:tcW w:w="2561" w:type="dxa"/>
            <w:vMerge/>
            <w:vAlign w:val="center"/>
            <w:hideMark/>
          </w:tcPr>
          <w:p w14:paraId="1C7270B5" w14:textId="77777777" w:rsidR="00271DB3" w:rsidRDefault="00271DB3">
            <w:pPr>
              <w:rPr>
                <w:b/>
                <w:bCs/>
                <w:sz w:val="22"/>
                <w:szCs w:val="22"/>
              </w:rPr>
            </w:pPr>
          </w:p>
        </w:tc>
        <w:tc>
          <w:tcPr>
            <w:tcW w:w="3702" w:type="dxa"/>
            <w:vAlign w:val="center"/>
            <w:hideMark/>
          </w:tcPr>
          <w:p w14:paraId="6D5A91D7" w14:textId="77777777" w:rsidR="00271DB3" w:rsidRDefault="00271DB3">
            <w:pPr>
              <w:rPr>
                <w:sz w:val="22"/>
                <w:szCs w:val="22"/>
              </w:rPr>
            </w:pPr>
            <w:r>
              <w:rPr>
                <w:sz w:val="22"/>
                <w:szCs w:val="22"/>
              </w:rPr>
              <w:t>Portable  </w:t>
            </w:r>
          </w:p>
        </w:tc>
        <w:tc>
          <w:tcPr>
            <w:tcW w:w="1521" w:type="dxa"/>
            <w:vAlign w:val="center"/>
            <w:hideMark/>
          </w:tcPr>
          <w:p w14:paraId="4699C6E3" w14:textId="77777777" w:rsidR="00271DB3" w:rsidRDefault="00271DB3">
            <w:pPr>
              <w:jc w:val="center"/>
              <w:rPr>
                <w:sz w:val="22"/>
                <w:szCs w:val="22"/>
              </w:rPr>
            </w:pPr>
            <w:r>
              <w:rPr>
                <w:sz w:val="22"/>
                <w:szCs w:val="22"/>
              </w:rPr>
              <w:t>$246  </w:t>
            </w:r>
          </w:p>
        </w:tc>
        <w:tc>
          <w:tcPr>
            <w:tcW w:w="1581" w:type="dxa"/>
            <w:vAlign w:val="center"/>
            <w:hideMark/>
          </w:tcPr>
          <w:p w14:paraId="146FCDF5" w14:textId="77777777" w:rsidR="00271DB3" w:rsidRDefault="00271DB3">
            <w:pPr>
              <w:jc w:val="center"/>
              <w:rPr>
                <w:sz w:val="22"/>
                <w:szCs w:val="22"/>
              </w:rPr>
            </w:pPr>
            <w:r>
              <w:rPr>
                <w:sz w:val="22"/>
                <w:szCs w:val="22"/>
              </w:rPr>
              <w:t>$309  </w:t>
            </w:r>
          </w:p>
        </w:tc>
      </w:tr>
      <w:tr w:rsidR="00271DB3" w14:paraId="610BDF42" w14:textId="77777777" w:rsidTr="00602481">
        <w:trPr>
          <w:trHeight w:hRule="exact" w:val="288"/>
        </w:trPr>
        <w:tc>
          <w:tcPr>
            <w:tcW w:w="2561" w:type="dxa"/>
            <w:vMerge/>
            <w:vAlign w:val="center"/>
            <w:hideMark/>
          </w:tcPr>
          <w:p w14:paraId="59B0A5B6" w14:textId="77777777" w:rsidR="00271DB3" w:rsidRDefault="00271DB3">
            <w:pPr>
              <w:rPr>
                <w:b/>
                <w:bCs/>
                <w:sz w:val="22"/>
                <w:szCs w:val="22"/>
              </w:rPr>
            </w:pPr>
          </w:p>
        </w:tc>
        <w:tc>
          <w:tcPr>
            <w:tcW w:w="3702" w:type="dxa"/>
            <w:vAlign w:val="center"/>
            <w:hideMark/>
          </w:tcPr>
          <w:p w14:paraId="68D20D95" w14:textId="77777777" w:rsidR="00271DB3" w:rsidRDefault="00271DB3">
            <w:pPr>
              <w:rPr>
                <w:sz w:val="22"/>
                <w:szCs w:val="22"/>
              </w:rPr>
            </w:pPr>
            <w:r>
              <w:rPr>
                <w:sz w:val="22"/>
                <w:szCs w:val="22"/>
              </w:rPr>
              <w:t>Cone Beam CT  </w:t>
            </w:r>
          </w:p>
        </w:tc>
        <w:tc>
          <w:tcPr>
            <w:tcW w:w="1521" w:type="dxa"/>
            <w:vAlign w:val="center"/>
            <w:hideMark/>
          </w:tcPr>
          <w:p w14:paraId="5D5FFE7E" w14:textId="77777777" w:rsidR="00271DB3" w:rsidRDefault="00271DB3">
            <w:pPr>
              <w:jc w:val="center"/>
              <w:rPr>
                <w:sz w:val="22"/>
                <w:szCs w:val="22"/>
              </w:rPr>
            </w:pPr>
            <w:r>
              <w:rPr>
                <w:sz w:val="22"/>
                <w:szCs w:val="22"/>
              </w:rPr>
              <w:t>$246  </w:t>
            </w:r>
          </w:p>
        </w:tc>
        <w:tc>
          <w:tcPr>
            <w:tcW w:w="1581" w:type="dxa"/>
            <w:vAlign w:val="center"/>
            <w:hideMark/>
          </w:tcPr>
          <w:p w14:paraId="46B32128" w14:textId="77777777" w:rsidR="00271DB3" w:rsidRDefault="00271DB3">
            <w:pPr>
              <w:jc w:val="center"/>
              <w:rPr>
                <w:sz w:val="22"/>
                <w:szCs w:val="22"/>
              </w:rPr>
            </w:pPr>
            <w:r>
              <w:rPr>
                <w:sz w:val="22"/>
                <w:szCs w:val="22"/>
              </w:rPr>
              <w:t>$309   </w:t>
            </w:r>
          </w:p>
        </w:tc>
      </w:tr>
      <w:tr w:rsidR="00271DB3" w14:paraId="604EC1AD" w14:textId="77777777" w:rsidTr="00602481">
        <w:trPr>
          <w:trHeight w:hRule="exact" w:val="288"/>
        </w:trPr>
        <w:tc>
          <w:tcPr>
            <w:tcW w:w="2561" w:type="dxa"/>
            <w:vMerge/>
            <w:vAlign w:val="center"/>
            <w:hideMark/>
          </w:tcPr>
          <w:p w14:paraId="1F80DE1D" w14:textId="77777777" w:rsidR="00271DB3" w:rsidRDefault="00271DB3">
            <w:pPr>
              <w:rPr>
                <w:b/>
                <w:bCs/>
                <w:sz w:val="22"/>
                <w:szCs w:val="22"/>
              </w:rPr>
            </w:pPr>
          </w:p>
        </w:tc>
        <w:tc>
          <w:tcPr>
            <w:tcW w:w="3702" w:type="dxa"/>
            <w:vAlign w:val="center"/>
            <w:hideMark/>
          </w:tcPr>
          <w:p w14:paraId="2DD5D108" w14:textId="77777777" w:rsidR="00271DB3" w:rsidRDefault="00271DB3">
            <w:pPr>
              <w:rPr>
                <w:sz w:val="22"/>
                <w:szCs w:val="22"/>
              </w:rPr>
            </w:pPr>
            <w:r>
              <w:rPr>
                <w:sz w:val="22"/>
                <w:szCs w:val="22"/>
              </w:rPr>
              <w:t>Educational  </w:t>
            </w:r>
          </w:p>
        </w:tc>
        <w:tc>
          <w:tcPr>
            <w:tcW w:w="1521" w:type="dxa"/>
            <w:vAlign w:val="center"/>
            <w:hideMark/>
          </w:tcPr>
          <w:p w14:paraId="7EC0F938" w14:textId="77777777" w:rsidR="00271DB3" w:rsidRDefault="00271DB3">
            <w:pPr>
              <w:jc w:val="center"/>
              <w:rPr>
                <w:sz w:val="22"/>
                <w:szCs w:val="22"/>
              </w:rPr>
            </w:pPr>
            <w:r>
              <w:rPr>
                <w:sz w:val="22"/>
                <w:szCs w:val="22"/>
              </w:rPr>
              <w:t>$246  </w:t>
            </w:r>
          </w:p>
        </w:tc>
        <w:tc>
          <w:tcPr>
            <w:tcW w:w="1581" w:type="dxa"/>
            <w:vAlign w:val="center"/>
            <w:hideMark/>
          </w:tcPr>
          <w:p w14:paraId="4C25C6F7" w14:textId="77777777" w:rsidR="00271DB3" w:rsidRDefault="00271DB3">
            <w:pPr>
              <w:jc w:val="center"/>
              <w:rPr>
                <w:sz w:val="22"/>
                <w:szCs w:val="22"/>
              </w:rPr>
            </w:pPr>
            <w:r>
              <w:rPr>
                <w:sz w:val="22"/>
                <w:szCs w:val="22"/>
              </w:rPr>
              <w:t>$309   </w:t>
            </w:r>
          </w:p>
        </w:tc>
      </w:tr>
      <w:tr w:rsidR="00271DB3" w14:paraId="7E4F2384" w14:textId="77777777" w:rsidTr="00602481">
        <w:trPr>
          <w:trHeight w:hRule="exact" w:val="288"/>
        </w:trPr>
        <w:tc>
          <w:tcPr>
            <w:tcW w:w="2561" w:type="dxa"/>
            <w:vMerge w:val="restart"/>
            <w:hideMark/>
          </w:tcPr>
          <w:p w14:paraId="486902C8" w14:textId="77777777" w:rsidR="00271DB3" w:rsidRDefault="00271DB3">
            <w:pPr>
              <w:rPr>
                <w:b/>
                <w:bCs/>
                <w:sz w:val="22"/>
                <w:szCs w:val="22"/>
              </w:rPr>
            </w:pPr>
            <w:r>
              <w:rPr>
                <w:b/>
                <w:bCs/>
                <w:sz w:val="22"/>
                <w:szCs w:val="22"/>
              </w:rPr>
              <w:t>Fluoroscopic</w:t>
            </w:r>
            <w:r>
              <w:rPr>
                <w:sz w:val="22"/>
                <w:szCs w:val="22"/>
              </w:rPr>
              <w:t>  </w:t>
            </w:r>
          </w:p>
        </w:tc>
        <w:tc>
          <w:tcPr>
            <w:tcW w:w="3702" w:type="dxa"/>
            <w:vAlign w:val="center"/>
            <w:hideMark/>
          </w:tcPr>
          <w:p w14:paraId="7F9C92F0" w14:textId="77777777" w:rsidR="00271DB3" w:rsidRDefault="00271DB3">
            <w:pPr>
              <w:rPr>
                <w:sz w:val="22"/>
                <w:szCs w:val="22"/>
              </w:rPr>
            </w:pPr>
            <w:r>
              <w:rPr>
                <w:sz w:val="22"/>
                <w:szCs w:val="22"/>
              </w:rPr>
              <w:t>C-arm  </w:t>
            </w:r>
          </w:p>
        </w:tc>
        <w:tc>
          <w:tcPr>
            <w:tcW w:w="1521" w:type="dxa"/>
            <w:vAlign w:val="center"/>
            <w:hideMark/>
          </w:tcPr>
          <w:p w14:paraId="34BDEAB0" w14:textId="77777777" w:rsidR="00271DB3" w:rsidRDefault="00271DB3">
            <w:pPr>
              <w:jc w:val="center"/>
              <w:rPr>
                <w:sz w:val="22"/>
                <w:szCs w:val="22"/>
              </w:rPr>
            </w:pPr>
            <w:r>
              <w:rPr>
                <w:sz w:val="22"/>
                <w:szCs w:val="22"/>
              </w:rPr>
              <w:t>$231  </w:t>
            </w:r>
          </w:p>
        </w:tc>
        <w:tc>
          <w:tcPr>
            <w:tcW w:w="1581" w:type="dxa"/>
            <w:vAlign w:val="center"/>
            <w:hideMark/>
          </w:tcPr>
          <w:p w14:paraId="74E1322F" w14:textId="77777777" w:rsidR="00271DB3" w:rsidRDefault="00271DB3">
            <w:pPr>
              <w:rPr>
                <w:sz w:val="22"/>
                <w:szCs w:val="22"/>
              </w:rPr>
            </w:pPr>
            <w:r>
              <w:rPr>
                <w:sz w:val="22"/>
                <w:szCs w:val="22"/>
              </w:rPr>
              <w:t xml:space="preserve">        $290</w:t>
            </w:r>
          </w:p>
        </w:tc>
      </w:tr>
      <w:tr w:rsidR="00271DB3" w14:paraId="3EF479DA" w14:textId="77777777" w:rsidTr="00602481">
        <w:trPr>
          <w:trHeight w:hRule="exact" w:val="288"/>
        </w:trPr>
        <w:tc>
          <w:tcPr>
            <w:tcW w:w="2561" w:type="dxa"/>
            <w:vMerge/>
            <w:vAlign w:val="center"/>
            <w:hideMark/>
          </w:tcPr>
          <w:p w14:paraId="3D127544" w14:textId="77777777" w:rsidR="00271DB3" w:rsidRDefault="00271DB3">
            <w:pPr>
              <w:rPr>
                <w:b/>
                <w:bCs/>
                <w:sz w:val="22"/>
                <w:szCs w:val="22"/>
              </w:rPr>
            </w:pPr>
          </w:p>
        </w:tc>
        <w:tc>
          <w:tcPr>
            <w:tcW w:w="3702" w:type="dxa"/>
            <w:vAlign w:val="center"/>
            <w:hideMark/>
          </w:tcPr>
          <w:p w14:paraId="0829845A" w14:textId="77777777" w:rsidR="00271DB3" w:rsidRDefault="00271DB3">
            <w:pPr>
              <w:rPr>
                <w:sz w:val="22"/>
                <w:szCs w:val="22"/>
              </w:rPr>
            </w:pPr>
            <w:r>
              <w:rPr>
                <w:sz w:val="22"/>
                <w:szCs w:val="22"/>
              </w:rPr>
              <w:t>Micro Amperage (Mini) C-arm  </w:t>
            </w:r>
          </w:p>
        </w:tc>
        <w:tc>
          <w:tcPr>
            <w:tcW w:w="1521" w:type="dxa"/>
            <w:vAlign w:val="center"/>
            <w:hideMark/>
          </w:tcPr>
          <w:p w14:paraId="3BC73195" w14:textId="77777777" w:rsidR="00271DB3" w:rsidRDefault="00271DB3">
            <w:pPr>
              <w:jc w:val="center"/>
              <w:rPr>
                <w:sz w:val="22"/>
                <w:szCs w:val="22"/>
              </w:rPr>
            </w:pPr>
            <w:r>
              <w:rPr>
                <w:sz w:val="22"/>
                <w:szCs w:val="22"/>
              </w:rPr>
              <w:t>$231  </w:t>
            </w:r>
          </w:p>
        </w:tc>
        <w:tc>
          <w:tcPr>
            <w:tcW w:w="1581" w:type="dxa"/>
            <w:vAlign w:val="center"/>
            <w:hideMark/>
          </w:tcPr>
          <w:p w14:paraId="63C60681" w14:textId="77777777" w:rsidR="00271DB3" w:rsidRDefault="00271DB3">
            <w:pPr>
              <w:jc w:val="center"/>
              <w:rPr>
                <w:sz w:val="22"/>
                <w:szCs w:val="22"/>
              </w:rPr>
            </w:pPr>
            <w:r>
              <w:rPr>
                <w:sz w:val="22"/>
                <w:szCs w:val="22"/>
              </w:rPr>
              <w:t>$290  </w:t>
            </w:r>
          </w:p>
        </w:tc>
      </w:tr>
      <w:tr w:rsidR="00271DB3" w14:paraId="5368821F" w14:textId="77777777" w:rsidTr="00602481">
        <w:trPr>
          <w:trHeight w:hRule="exact" w:val="288"/>
        </w:trPr>
        <w:tc>
          <w:tcPr>
            <w:tcW w:w="2561" w:type="dxa"/>
            <w:vMerge/>
            <w:vAlign w:val="center"/>
            <w:hideMark/>
          </w:tcPr>
          <w:p w14:paraId="43F364C1" w14:textId="77777777" w:rsidR="00271DB3" w:rsidRDefault="00271DB3">
            <w:pPr>
              <w:rPr>
                <w:b/>
                <w:bCs/>
                <w:sz w:val="22"/>
                <w:szCs w:val="22"/>
              </w:rPr>
            </w:pPr>
          </w:p>
        </w:tc>
        <w:tc>
          <w:tcPr>
            <w:tcW w:w="3702" w:type="dxa"/>
            <w:vAlign w:val="center"/>
            <w:hideMark/>
          </w:tcPr>
          <w:p w14:paraId="6B6D21AB" w14:textId="77777777" w:rsidR="00271DB3" w:rsidRDefault="00271DB3">
            <w:pPr>
              <w:rPr>
                <w:sz w:val="22"/>
                <w:szCs w:val="22"/>
              </w:rPr>
            </w:pPr>
            <w:r>
              <w:rPr>
                <w:sz w:val="22"/>
                <w:szCs w:val="22"/>
              </w:rPr>
              <w:t>O-arm  </w:t>
            </w:r>
          </w:p>
        </w:tc>
        <w:tc>
          <w:tcPr>
            <w:tcW w:w="1521" w:type="dxa"/>
            <w:vAlign w:val="center"/>
            <w:hideMark/>
          </w:tcPr>
          <w:p w14:paraId="54B189FE" w14:textId="77777777" w:rsidR="00271DB3" w:rsidRDefault="00271DB3">
            <w:pPr>
              <w:jc w:val="center"/>
              <w:rPr>
                <w:sz w:val="22"/>
                <w:szCs w:val="22"/>
              </w:rPr>
            </w:pPr>
            <w:r>
              <w:rPr>
                <w:sz w:val="22"/>
                <w:szCs w:val="22"/>
              </w:rPr>
              <w:t>$231  </w:t>
            </w:r>
          </w:p>
        </w:tc>
        <w:tc>
          <w:tcPr>
            <w:tcW w:w="1581" w:type="dxa"/>
            <w:vAlign w:val="center"/>
            <w:hideMark/>
          </w:tcPr>
          <w:p w14:paraId="3A07AC44" w14:textId="77777777" w:rsidR="00271DB3" w:rsidRDefault="00271DB3">
            <w:pPr>
              <w:jc w:val="center"/>
              <w:rPr>
                <w:sz w:val="22"/>
                <w:szCs w:val="22"/>
              </w:rPr>
            </w:pPr>
            <w:r>
              <w:rPr>
                <w:sz w:val="22"/>
                <w:szCs w:val="22"/>
              </w:rPr>
              <w:t>$290  </w:t>
            </w:r>
          </w:p>
        </w:tc>
      </w:tr>
      <w:tr w:rsidR="00271DB3" w14:paraId="4263FFFD" w14:textId="77777777" w:rsidTr="00602481">
        <w:trPr>
          <w:trHeight w:hRule="exact" w:val="288"/>
        </w:trPr>
        <w:tc>
          <w:tcPr>
            <w:tcW w:w="2561" w:type="dxa"/>
            <w:vMerge/>
            <w:vAlign w:val="center"/>
            <w:hideMark/>
          </w:tcPr>
          <w:p w14:paraId="6B54BBCC" w14:textId="77777777" w:rsidR="00271DB3" w:rsidRDefault="00271DB3">
            <w:pPr>
              <w:rPr>
                <w:b/>
                <w:bCs/>
                <w:sz w:val="22"/>
                <w:szCs w:val="22"/>
              </w:rPr>
            </w:pPr>
          </w:p>
        </w:tc>
        <w:tc>
          <w:tcPr>
            <w:tcW w:w="3702" w:type="dxa"/>
            <w:vAlign w:val="center"/>
            <w:hideMark/>
          </w:tcPr>
          <w:p w14:paraId="2CB56777" w14:textId="77777777" w:rsidR="00271DB3" w:rsidRDefault="00271DB3">
            <w:pPr>
              <w:rPr>
                <w:sz w:val="22"/>
                <w:szCs w:val="22"/>
              </w:rPr>
            </w:pPr>
            <w:r>
              <w:rPr>
                <w:sz w:val="22"/>
                <w:szCs w:val="22"/>
              </w:rPr>
              <w:t>Specialty Rooms  </w:t>
            </w:r>
          </w:p>
        </w:tc>
        <w:tc>
          <w:tcPr>
            <w:tcW w:w="1521" w:type="dxa"/>
            <w:vAlign w:val="center"/>
            <w:hideMark/>
          </w:tcPr>
          <w:p w14:paraId="464EF880" w14:textId="77777777" w:rsidR="00271DB3" w:rsidRDefault="00271DB3">
            <w:pPr>
              <w:jc w:val="center"/>
              <w:rPr>
                <w:sz w:val="22"/>
                <w:szCs w:val="22"/>
              </w:rPr>
            </w:pPr>
            <w:r>
              <w:rPr>
                <w:sz w:val="22"/>
                <w:szCs w:val="22"/>
              </w:rPr>
              <w:t>$231  </w:t>
            </w:r>
          </w:p>
        </w:tc>
        <w:tc>
          <w:tcPr>
            <w:tcW w:w="1581" w:type="dxa"/>
            <w:vAlign w:val="center"/>
            <w:hideMark/>
          </w:tcPr>
          <w:p w14:paraId="5EA03026" w14:textId="77777777" w:rsidR="00271DB3" w:rsidRDefault="00271DB3">
            <w:pPr>
              <w:jc w:val="center"/>
              <w:rPr>
                <w:sz w:val="22"/>
                <w:szCs w:val="22"/>
              </w:rPr>
            </w:pPr>
            <w:r>
              <w:rPr>
                <w:sz w:val="22"/>
                <w:szCs w:val="22"/>
              </w:rPr>
              <w:t>$290  </w:t>
            </w:r>
          </w:p>
        </w:tc>
      </w:tr>
      <w:tr w:rsidR="00271DB3" w14:paraId="170A4156" w14:textId="77777777" w:rsidTr="00602481">
        <w:trPr>
          <w:trHeight w:hRule="exact" w:val="288"/>
        </w:trPr>
        <w:tc>
          <w:tcPr>
            <w:tcW w:w="2561" w:type="dxa"/>
            <w:vMerge/>
            <w:vAlign w:val="center"/>
            <w:hideMark/>
          </w:tcPr>
          <w:p w14:paraId="1160731E" w14:textId="77777777" w:rsidR="00271DB3" w:rsidRDefault="00271DB3">
            <w:pPr>
              <w:rPr>
                <w:b/>
                <w:bCs/>
                <w:sz w:val="22"/>
                <w:szCs w:val="22"/>
              </w:rPr>
            </w:pPr>
          </w:p>
        </w:tc>
        <w:tc>
          <w:tcPr>
            <w:tcW w:w="3702" w:type="dxa"/>
            <w:vAlign w:val="center"/>
            <w:hideMark/>
          </w:tcPr>
          <w:p w14:paraId="3C2CF015" w14:textId="77777777" w:rsidR="00271DB3" w:rsidRDefault="00271DB3">
            <w:pPr>
              <w:rPr>
                <w:sz w:val="22"/>
                <w:szCs w:val="22"/>
              </w:rPr>
            </w:pPr>
            <w:r>
              <w:rPr>
                <w:sz w:val="22"/>
                <w:szCs w:val="22"/>
              </w:rPr>
              <w:t>Under Table  </w:t>
            </w:r>
          </w:p>
        </w:tc>
        <w:tc>
          <w:tcPr>
            <w:tcW w:w="1521" w:type="dxa"/>
            <w:vAlign w:val="center"/>
            <w:hideMark/>
          </w:tcPr>
          <w:p w14:paraId="23033996" w14:textId="77777777" w:rsidR="00271DB3" w:rsidRDefault="00271DB3">
            <w:pPr>
              <w:jc w:val="center"/>
              <w:rPr>
                <w:sz w:val="22"/>
                <w:szCs w:val="22"/>
              </w:rPr>
            </w:pPr>
            <w:r>
              <w:rPr>
                <w:sz w:val="22"/>
                <w:szCs w:val="22"/>
              </w:rPr>
              <w:t>$231  </w:t>
            </w:r>
          </w:p>
        </w:tc>
        <w:tc>
          <w:tcPr>
            <w:tcW w:w="1581" w:type="dxa"/>
            <w:vAlign w:val="center"/>
            <w:hideMark/>
          </w:tcPr>
          <w:p w14:paraId="4DC4EECE" w14:textId="77777777" w:rsidR="00271DB3" w:rsidRDefault="00271DB3">
            <w:pPr>
              <w:jc w:val="center"/>
              <w:rPr>
                <w:sz w:val="22"/>
                <w:szCs w:val="22"/>
              </w:rPr>
            </w:pPr>
            <w:r>
              <w:rPr>
                <w:sz w:val="22"/>
                <w:szCs w:val="22"/>
              </w:rPr>
              <w:t>$290  </w:t>
            </w:r>
          </w:p>
        </w:tc>
      </w:tr>
      <w:tr w:rsidR="00271DB3" w14:paraId="1AAA1EA7" w14:textId="77777777" w:rsidTr="00602481">
        <w:trPr>
          <w:trHeight w:hRule="exact" w:val="288"/>
        </w:trPr>
        <w:tc>
          <w:tcPr>
            <w:tcW w:w="2561" w:type="dxa"/>
            <w:vMerge/>
            <w:vAlign w:val="center"/>
            <w:hideMark/>
          </w:tcPr>
          <w:p w14:paraId="7F793450" w14:textId="77777777" w:rsidR="00271DB3" w:rsidRDefault="00271DB3">
            <w:pPr>
              <w:rPr>
                <w:b/>
                <w:bCs/>
                <w:sz w:val="22"/>
                <w:szCs w:val="22"/>
              </w:rPr>
            </w:pPr>
          </w:p>
        </w:tc>
        <w:tc>
          <w:tcPr>
            <w:tcW w:w="3702" w:type="dxa"/>
            <w:vAlign w:val="center"/>
            <w:hideMark/>
          </w:tcPr>
          <w:p w14:paraId="67D8EA7B" w14:textId="77777777" w:rsidR="00271DB3" w:rsidRDefault="00271DB3">
            <w:pPr>
              <w:rPr>
                <w:sz w:val="22"/>
                <w:szCs w:val="22"/>
              </w:rPr>
            </w:pPr>
            <w:r>
              <w:rPr>
                <w:sz w:val="22"/>
                <w:szCs w:val="22"/>
              </w:rPr>
              <w:t>Educational  </w:t>
            </w:r>
          </w:p>
        </w:tc>
        <w:tc>
          <w:tcPr>
            <w:tcW w:w="1521" w:type="dxa"/>
            <w:vAlign w:val="center"/>
            <w:hideMark/>
          </w:tcPr>
          <w:p w14:paraId="07A84F9F" w14:textId="77777777" w:rsidR="00271DB3" w:rsidRDefault="00271DB3">
            <w:pPr>
              <w:jc w:val="center"/>
              <w:rPr>
                <w:sz w:val="22"/>
                <w:szCs w:val="22"/>
              </w:rPr>
            </w:pPr>
            <w:r>
              <w:rPr>
                <w:sz w:val="22"/>
                <w:szCs w:val="22"/>
              </w:rPr>
              <w:t>$231  </w:t>
            </w:r>
          </w:p>
        </w:tc>
        <w:tc>
          <w:tcPr>
            <w:tcW w:w="1581" w:type="dxa"/>
            <w:vAlign w:val="center"/>
            <w:hideMark/>
          </w:tcPr>
          <w:p w14:paraId="5F033F8E" w14:textId="77777777" w:rsidR="00271DB3" w:rsidRDefault="00271DB3">
            <w:pPr>
              <w:jc w:val="center"/>
              <w:rPr>
                <w:sz w:val="22"/>
                <w:szCs w:val="22"/>
              </w:rPr>
            </w:pPr>
            <w:r>
              <w:rPr>
                <w:sz w:val="22"/>
                <w:szCs w:val="22"/>
              </w:rPr>
              <w:t>$290  </w:t>
            </w:r>
          </w:p>
        </w:tc>
      </w:tr>
      <w:tr w:rsidR="00271DB3" w14:paraId="12ED52FD" w14:textId="77777777" w:rsidTr="00602481">
        <w:trPr>
          <w:trHeight w:hRule="exact" w:val="288"/>
        </w:trPr>
        <w:tc>
          <w:tcPr>
            <w:tcW w:w="2561" w:type="dxa"/>
            <w:vMerge w:val="restart"/>
            <w:hideMark/>
          </w:tcPr>
          <w:p w14:paraId="0B66AE02" w14:textId="77777777" w:rsidR="00271DB3" w:rsidRDefault="00271DB3">
            <w:pPr>
              <w:rPr>
                <w:b/>
                <w:bCs/>
                <w:sz w:val="22"/>
                <w:szCs w:val="22"/>
              </w:rPr>
            </w:pPr>
            <w:r>
              <w:rPr>
                <w:b/>
                <w:bCs/>
                <w:sz w:val="22"/>
                <w:szCs w:val="22"/>
              </w:rPr>
              <w:t>Therapy</w:t>
            </w:r>
            <w:r>
              <w:rPr>
                <w:sz w:val="22"/>
                <w:szCs w:val="22"/>
              </w:rPr>
              <w:t>  </w:t>
            </w:r>
          </w:p>
        </w:tc>
        <w:tc>
          <w:tcPr>
            <w:tcW w:w="3702" w:type="dxa"/>
            <w:vAlign w:val="center"/>
            <w:hideMark/>
          </w:tcPr>
          <w:p w14:paraId="7D2E452F" w14:textId="77777777" w:rsidR="00271DB3" w:rsidRDefault="00271DB3">
            <w:pPr>
              <w:rPr>
                <w:sz w:val="22"/>
                <w:szCs w:val="22"/>
              </w:rPr>
            </w:pPr>
            <w:r>
              <w:rPr>
                <w:sz w:val="22"/>
                <w:szCs w:val="22"/>
              </w:rPr>
              <w:t>Accelerator (Linear)  </w:t>
            </w:r>
          </w:p>
        </w:tc>
        <w:tc>
          <w:tcPr>
            <w:tcW w:w="1521" w:type="dxa"/>
            <w:vAlign w:val="center"/>
            <w:hideMark/>
          </w:tcPr>
          <w:p w14:paraId="732120B2" w14:textId="77777777" w:rsidR="00271DB3" w:rsidRDefault="00271DB3">
            <w:pPr>
              <w:jc w:val="center"/>
              <w:rPr>
                <w:sz w:val="22"/>
                <w:szCs w:val="22"/>
              </w:rPr>
            </w:pPr>
            <w:r>
              <w:rPr>
                <w:sz w:val="22"/>
                <w:szCs w:val="22"/>
              </w:rPr>
              <w:t>$334  </w:t>
            </w:r>
          </w:p>
        </w:tc>
        <w:tc>
          <w:tcPr>
            <w:tcW w:w="1581" w:type="dxa"/>
            <w:vAlign w:val="center"/>
            <w:hideMark/>
          </w:tcPr>
          <w:p w14:paraId="58F039FC" w14:textId="77777777" w:rsidR="00271DB3" w:rsidRDefault="00271DB3">
            <w:pPr>
              <w:jc w:val="center"/>
              <w:rPr>
                <w:sz w:val="22"/>
                <w:szCs w:val="22"/>
              </w:rPr>
            </w:pPr>
            <w:r>
              <w:rPr>
                <w:sz w:val="22"/>
                <w:szCs w:val="22"/>
              </w:rPr>
              <w:t>$420 </w:t>
            </w:r>
          </w:p>
        </w:tc>
      </w:tr>
      <w:tr w:rsidR="00271DB3" w14:paraId="110E05E9" w14:textId="77777777" w:rsidTr="00602481">
        <w:trPr>
          <w:trHeight w:hRule="exact" w:val="288"/>
        </w:trPr>
        <w:tc>
          <w:tcPr>
            <w:tcW w:w="2561" w:type="dxa"/>
            <w:vMerge/>
            <w:vAlign w:val="center"/>
            <w:hideMark/>
          </w:tcPr>
          <w:p w14:paraId="3595709A" w14:textId="77777777" w:rsidR="00271DB3" w:rsidRDefault="00271DB3">
            <w:pPr>
              <w:rPr>
                <w:b/>
                <w:bCs/>
                <w:sz w:val="22"/>
                <w:szCs w:val="22"/>
              </w:rPr>
            </w:pPr>
          </w:p>
        </w:tc>
        <w:tc>
          <w:tcPr>
            <w:tcW w:w="3702" w:type="dxa"/>
            <w:vAlign w:val="center"/>
            <w:hideMark/>
          </w:tcPr>
          <w:p w14:paraId="410DA2BB" w14:textId="77777777" w:rsidR="00271DB3" w:rsidRDefault="00271DB3">
            <w:pPr>
              <w:rPr>
                <w:sz w:val="22"/>
                <w:szCs w:val="22"/>
              </w:rPr>
            </w:pPr>
            <w:r>
              <w:rPr>
                <w:sz w:val="22"/>
                <w:szCs w:val="22"/>
              </w:rPr>
              <w:t>Non- Accelerator  </w:t>
            </w:r>
          </w:p>
        </w:tc>
        <w:tc>
          <w:tcPr>
            <w:tcW w:w="1521" w:type="dxa"/>
            <w:vAlign w:val="center"/>
            <w:hideMark/>
          </w:tcPr>
          <w:p w14:paraId="4328B128" w14:textId="77777777" w:rsidR="00271DB3" w:rsidRDefault="00271DB3">
            <w:pPr>
              <w:jc w:val="center"/>
              <w:rPr>
                <w:sz w:val="22"/>
                <w:szCs w:val="22"/>
              </w:rPr>
            </w:pPr>
            <w:r>
              <w:rPr>
                <w:sz w:val="22"/>
                <w:szCs w:val="22"/>
              </w:rPr>
              <w:t>$334  </w:t>
            </w:r>
          </w:p>
        </w:tc>
        <w:tc>
          <w:tcPr>
            <w:tcW w:w="1581" w:type="dxa"/>
            <w:vAlign w:val="center"/>
            <w:hideMark/>
          </w:tcPr>
          <w:p w14:paraId="0B21217A" w14:textId="77777777" w:rsidR="00271DB3" w:rsidRDefault="00271DB3">
            <w:pPr>
              <w:jc w:val="center"/>
              <w:rPr>
                <w:sz w:val="22"/>
                <w:szCs w:val="22"/>
              </w:rPr>
            </w:pPr>
            <w:r>
              <w:rPr>
                <w:sz w:val="22"/>
                <w:szCs w:val="22"/>
              </w:rPr>
              <w:t>$420 </w:t>
            </w:r>
          </w:p>
        </w:tc>
      </w:tr>
      <w:tr w:rsidR="00271DB3" w14:paraId="4E90D6A4" w14:textId="77777777" w:rsidTr="00602481">
        <w:trPr>
          <w:trHeight w:hRule="exact" w:val="288"/>
        </w:trPr>
        <w:tc>
          <w:tcPr>
            <w:tcW w:w="2561" w:type="dxa"/>
            <w:vMerge/>
            <w:vAlign w:val="center"/>
            <w:hideMark/>
          </w:tcPr>
          <w:p w14:paraId="62058526" w14:textId="77777777" w:rsidR="00271DB3" w:rsidRDefault="00271DB3">
            <w:pPr>
              <w:rPr>
                <w:b/>
                <w:bCs/>
                <w:sz w:val="22"/>
                <w:szCs w:val="22"/>
              </w:rPr>
            </w:pPr>
          </w:p>
        </w:tc>
        <w:tc>
          <w:tcPr>
            <w:tcW w:w="3702" w:type="dxa"/>
            <w:vAlign w:val="center"/>
            <w:hideMark/>
          </w:tcPr>
          <w:p w14:paraId="08D1E3EA" w14:textId="77777777" w:rsidR="00271DB3" w:rsidRDefault="00271DB3">
            <w:pPr>
              <w:rPr>
                <w:sz w:val="22"/>
                <w:szCs w:val="22"/>
              </w:rPr>
            </w:pPr>
            <w:r>
              <w:rPr>
                <w:sz w:val="22"/>
                <w:szCs w:val="22"/>
              </w:rPr>
              <w:t>Superficial Radiation Therapy (Dermatology)  </w:t>
            </w:r>
          </w:p>
        </w:tc>
        <w:tc>
          <w:tcPr>
            <w:tcW w:w="1521" w:type="dxa"/>
            <w:vAlign w:val="center"/>
            <w:hideMark/>
          </w:tcPr>
          <w:p w14:paraId="77214B11" w14:textId="77777777" w:rsidR="00271DB3" w:rsidRDefault="00271DB3">
            <w:pPr>
              <w:jc w:val="center"/>
              <w:rPr>
                <w:sz w:val="22"/>
                <w:szCs w:val="22"/>
              </w:rPr>
            </w:pPr>
            <w:r>
              <w:rPr>
                <w:sz w:val="22"/>
                <w:szCs w:val="22"/>
              </w:rPr>
              <w:t>$334  </w:t>
            </w:r>
          </w:p>
        </w:tc>
        <w:tc>
          <w:tcPr>
            <w:tcW w:w="1581" w:type="dxa"/>
            <w:vAlign w:val="center"/>
            <w:hideMark/>
          </w:tcPr>
          <w:p w14:paraId="5349BAD1" w14:textId="77777777" w:rsidR="00271DB3" w:rsidRDefault="00271DB3">
            <w:pPr>
              <w:jc w:val="center"/>
              <w:rPr>
                <w:sz w:val="22"/>
                <w:szCs w:val="22"/>
              </w:rPr>
            </w:pPr>
            <w:r>
              <w:rPr>
                <w:sz w:val="22"/>
                <w:szCs w:val="22"/>
              </w:rPr>
              <w:t>$420 </w:t>
            </w:r>
          </w:p>
        </w:tc>
      </w:tr>
      <w:tr w:rsidR="00271DB3" w14:paraId="088E5866" w14:textId="77777777" w:rsidTr="00602481">
        <w:trPr>
          <w:trHeight w:hRule="exact" w:val="288"/>
        </w:trPr>
        <w:tc>
          <w:tcPr>
            <w:tcW w:w="2561" w:type="dxa"/>
            <w:vMerge/>
            <w:vAlign w:val="center"/>
            <w:hideMark/>
          </w:tcPr>
          <w:p w14:paraId="25872EF1" w14:textId="77777777" w:rsidR="00271DB3" w:rsidRDefault="00271DB3">
            <w:pPr>
              <w:rPr>
                <w:b/>
                <w:bCs/>
                <w:sz w:val="22"/>
                <w:szCs w:val="22"/>
              </w:rPr>
            </w:pPr>
          </w:p>
        </w:tc>
        <w:tc>
          <w:tcPr>
            <w:tcW w:w="3702" w:type="dxa"/>
            <w:vAlign w:val="center"/>
            <w:hideMark/>
          </w:tcPr>
          <w:p w14:paraId="4E209377" w14:textId="77777777" w:rsidR="00271DB3" w:rsidRDefault="00271DB3">
            <w:pPr>
              <w:rPr>
                <w:sz w:val="22"/>
                <w:szCs w:val="22"/>
              </w:rPr>
            </w:pPr>
            <w:r>
              <w:rPr>
                <w:sz w:val="22"/>
                <w:szCs w:val="22"/>
              </w:rPr>
              <w:t>Educational  </w:t>
            </w:r>
          </w:p>
        </w:tc>
        <w:tc>
          <w:tcPr>
            <w:tcW w:w="1521" w:type="dxa"/>
            <w:vAlign w:val="center"/>
            <w:hideMark/>
          </w:tcPr>
          <w:p w14:paraId="52C613BF" w14:textId="77777777" w:rsidR="00271DB3" w:rsidRDefault="00271DB3">
            <w:pPr>
              <w:jc w:val="center"/>
              <w:rPr>
                <w:sz w:val="22"/>
                <w:szCs w:val="22"/>
              </w:rPr>
            </w:pPr>
            <w:r>
              <w:rPr>
                <w:sz w:val="22"/>
                <w:szCs w:val="22"/>
              </w:rPr>
              <w:t>$334  </w:t>
            </w:r>
          </w:p>
        </w:tc>
        <w:tc>
          <w:tcPr>
            <w:tcW w:w="1581" w:type="dxa"/>
            <w:vAlign w:val="center"/>
            <w:hideMark/>
          </w:tcPr>
          <w:p w14:paraId="13F06639" w14:textId="77777777" w:rsidR="00271DB3" w:rsidRDefault="00271DB3">
            <w:pPr>
              <w:jc w:val="center"/>
              <w:rPr>
                <w:sz w:val="22"/>
                <w:szCs w:val="22"/>
              </w:rPr>
            </w:pPr>
            <w:r>
              <w:rPr>
                <w:sz w:val="22"/>
                <w:szCs w:val="22"/>
              </w:rPr>
              <w:t>$420 </w:t>
            </w:r>
          </w:p>
        </w:tc>
      </w:tr>
      <w:tr w:rsidR="00271DB3" w14:paraId="19199A45" w14:textId="77777777" w:rsidTr="00602481">
        <w:trPr>
          <w:trHeight w:hRule="exact" w:val="288"/>
        </w:trPr>
        <w:tc>
          <w:tcPr>
            <w:tcW w:w="2561" w:type="dxa"/>
            <w:vMerge/>
            <w:vAlign w:val="center"/>
            <w:hideMark/>
          </w:tcPr>
          <w:p w14:paraId="57E203AA" w14:textId="77777777" w:rsidR="00271DB3" w:rsidRDefault="00271DB3">
            <w:pPr>
              <w:rPr>
                <w:b/>
                <w:bCs/>
                <w:sz w:val="22"/>
                <w:szCs w:val="22"/>
              </w:rPr>
            </w:pPr>
          </w:p>
        </w:tc>
        <w:tc>
          <w:tcPr>
            <w:tcW w:w="3702" w:type="dxa"/>
            <w:vAlign w:val="center"/>
            <w:hideMark/>
          </w:tcPr>
          <w:p w14:paraId="14B37CF5" w14:textId="77777777" w:rsidR="00271DB3" w:rsidRDefault="00271DB3">
            <w:pPr>
              <w:rPr>
                <w:sz w:val="22"/>
                <w:szCs w:val="22"/>
              </w:rPr>
            </w:pPr>
            <w:r>
              <w:rPr>
                <w:sz w:val="22"/>
                <w:szCs w:val="22"/>
              </w:rPr>
              <w:t>Other  </w:t>
            </w:r>
          </w:p>
        </w:tc>
        <w:tc>
          <w:tcPr>
            <w:tcW w:w="1521" w:type="dxa"/>
            <w:vAlign w:val="center"/>
            <w:hideMark/>
          </w:tcPr>
          <w:p w14:paraId="44CD8192" w14:textId="77777777" w:rsidR="00271DB3" w:rsidRDefault="00271DB3">
            <w:pPr>
              <w:jc w:val="center"/>
              <w:rPr>
                <w:sz w:val="22"/>
                <w:szCs w:val="22"/>
              </w:rPr>
            </w:pPr>
            <w:r>
              <w:rPr>
                <w:sz w:val="22"/>
                <w:szCs w:val="22"/>
              </w:rPr>
              <w:t>$334  </w:t>
            </w:r>
          </w:p>
        </w:tc>
        <w:tc>
          <w:tcPr>
            <w:tcW w:w="1581" w:type="dxa"/>
            <w:vAlign w:val="center"/>
            <w:hideMark/>
          </w:tcPr>
          <w:p w14:paraId="1AF08B38" w14:textId="77777777" w:rsidR="00271DB3" w:rsidRDefault="00271DB3">
            <w:pPr>
              <w:jc w:val="center"/>
              <w:rPr>
                <w:sz w:val="22"/>
                <w:szCs w:val="22"/>
              </w:rPr>
            </w:pPr>
            <w:r>
              <w:rPr>
                <w:sz w:val="22"/>
                <w:szCs w:val="22"/>
              </w:rPr>
              <w:t>$420 </w:t>
            </w:r>
          </w:p>
        </w:tc>
      </w:tr>
      <w:tr w:rsidR="00271DB3" w14:paraId="3BEAD31E" w14:textId="77777777" w:rsidTr="00602481">
        <w:trPr>
          <w:trHeight w:hRule="exact" w:val="288"/>
        </w:trPr>
        <w:tc>
          <w:tcPr>
            <w:tcW w:w="2561" w:type="dxa"/>
            <w:vMerge w:val="restart"/>
            <w:hideMark/>
          </w:tcPr>
          <w:p w14:paraId="06400204" w14:textId="77777777" w:rsidR="00271DB3" w:rsidRDefault="00271DB3">
            <w:pPr>
              <w:rPr>
                <w:b/>
                <w:bCs/>
                <w:sz w:val="22"/>
                <w:szCs w:val="22"/>
              </w:rPr>
            </w:pPr>
            <w:r>
              <w:rPr>
                <w:b/>
                <w:bCs/>
                <w:sz w:val="22"/>
                <w:szCs w:val="22"/>
              </w:rPr>
              <w:t>Computed Tomography</w:t>
            </w:r>
            <w:r>
              <w:rPr>
                <w:sz w:val="22"/>
                <w:szCs w:val="22"/>
              </w:rPr>
              <w:t>  </w:t>
            </w:r>
          </w:p>
        </w:tc>
        <w:tc>
          <w:tcPr>
            <w:tcW w:w="3702" w:type="dxa"/>
            <w:vAlign w:val="center"/>
            <w:hideMark/>
          </w:tcPr>
          <w:p w14:paraId="609A08BA" w14:textId="77777777" w:rsidR="00271DB3" w:rsidRDefault="00271DB3">
            <w:pPr>
              <w:rPr>
                <w:sz w:val="22"/>
                <w:szCs w:val="22"/>
              </w:rPr>
            </w:pPr>
            <w:r>
              <w:rPr>
                <w:sz w:val="22"/>
                <w:szCs w:val="22"/>
              </w:rPr>
              <w:t>Diagnostic  </w:t>
            </w:r>
          </w:p>
        </w:tc>
        <w:tc>
          <w:tcPr>
            <w:tcW w:w="1521" w:type="dxa"/>
            <w:vAlign w:val="center"/>
            <w:hideMark/>
          </w:tcPr>
          <w:p w14:paraId="104DA708" w14:textId="77777777" w:rsidR="00271DB3" w:rsidRDefault="00271DB3">
            <w:pPr>
              <w:jc w:val="center"/>
              <w:rPr>
                <w:sz w:val="22"/>
                <w:szCs w:val="22"/>
              </w:rPr>
            </w:pPr>
            <w:r>
              <w:rPr>
                <w:sz w:val="22"/>
                <w:szCs w:val="22"/>
              </w:rPr>
              <w:t>$783  </w:t>
            </w:r>
          </w:p>
        </w:tc>
        <w:tc>
          <w:tcPr>
            <w:tcW w:w="1581" w:type="dxa"/>
            <w:vAlign w:val="center"/>
            <w:hideMark/>
          </w:tcPr>
          <w:p w14:paraId="0E0DA11F" w14:textId="77777777" w:rsidR="00271DB3" w:rsidRDefault="00271DB3">
            <w:pPr>
              <w:jc w:val="center"/>
              <w:rPr>
                <w:sz w:val="22"/>
                <w:szCs w:val="22"/>
              </w:rPr>
            </w:pPr>
            <w:r>
              <w:rPr>
                <w:sz w:val="22"/>
                <w:szCs w:val="22"/>
              </w:rPr>
              <w:t>$983  </w:t>
            </w:r>
          </w:p>
        </w:tc>
      </w:tr>
      <w:tr w:rsidR="00271DB3" w14:paraId="28357B41" w14:textId="77777777" w:rsidTr="00602481">
        <w:trPr>
          <w:trHeight w:hRule="exact" w:val="288"/>
        </w:trPr>
        <w:tc>
          <w:tcPr>
            <w:tcW w:w="2561" w:type="dxa"/>
            <w:vMerge/>
            <w:vAlign w:val="center"/>
            <w:hideMark/>
          </w:tcPr>
          <w:p w14:paraId="3AB1E9DC" w14:textId="77777777" w:rsidR="00271DB3" w:rsidRDefault="00271DB3">
            <w:pPr>
              <w:rPr>
                <w:b/>
                <w:bCs/>
                <w:sz w:val="22"/>
                <w:szCs w:val="22"/>
              </w:rPr>
            </w:pPr>
          </w:p>
        </w:tc>
        <w:tc>
          <w:tcPr>
            <w:tcW w:w="3702" w:type="dxa"/>
            <w:vAlign w:val="center"/>
            <w:hideMark/>
          </w:tcPr>
          <w:p w14:paraId="56656D18" w14:textId="77777777" w:rsidR="00271DB3" w:rsidRDefault="00271DB3">
            <w:pPr>
              <w:rPr>
                <w:sz w:val="22"/>
                <w:szCs w:val="22"/>
              </w:rPr>
            </w:pPr>
            <w:r>
              <w:rPr>
                <w:sz w:val="22"/>
                <w:szCs w:val="22"/>
              </w:rPr>
              <w:t>Simulation  </w:t>
            </w:r>
          </w:p>
        </w:tc>
        <w:tc>
          <w:tcPr>
            <w:tcW w:w="1521" w:type="dxa"/>
            <w:vAlign w:val="center"/>
            <w:hideMark/>
          </w:tcPr>
          <w:p w14:paraId="0C171933" w14:textId="77777777" w:rsidR="00271DB3" w:rsidRDefault="00271DB3">
            <w:pPr>
              <w:jc w:val="center"/>
              <w:rPr>
                <w:sz w:val="22"/>
                <w:szCs w:val="22"/>
              </w:rPr>
            </w:pPr>
            <w:r>
              <w:rPr>
                <w:sz w:val="22"/>
                <w:szCs w:val="22"/>
              </w:rPr>
              <w:t>$490  </w:t>
            </w:r>
          </w:p>
        </w:tc>
        <w:tc>
          <w:tcPr>
            <w:tcW w:w="1581" w:type="dxa"/>
            <w:vAlign w:val="center"/>
            <w:hideMark/>
          </w:tcPr>
          <w:p w14:paraId="6D2E6715" w14:textId="77777777" w:rsidR="00271DB3" w:rsidRDefault="00271DB3">
            <w:pPr>
              <w:jc w:val="center"/>
              <w:rPr>
                <w:sz w:val="22"/>
                <w:szCs w:val="22"/>
              </w:rPr>
            </w:pPr>
            <w:r>
              <w:rPr>
                <w:sz w:val="22"/>
                <w:szCs w:val="22"/>
              </w:rPr>
              <w:t>$615  </w:t>
            </w:r>
          </w:p>
        </w:tc>
      </w:tr>
      <w:tr w:rsidR="00271DB3" w14:paraId="06AB0884" w14:textId="77777777" w:rsidTr="00602481">
        <w:trPr>
          <w:trHeight w:hRule="exact" w:val="288"/>
        </w:trPr>
        <w:tc>
          <w:tcPr>
            <w:tcW w:w="2561" w:type="dxa"/>
            <w:vMerge/>
            <w:vAlign w:val="center"/>
            <w:hideMark/>
          </w:tcPr>
          <w:p w14:paraId="26C63260" w14:textId="77777777" w:rsidR="00271DB3" w:rsidRDefault="00271DB3">
            <w:pPr>
              <w:rPr>
                <w:b/>
                <w:bCs/>
                <w:sz w:val="22"/>
                <w:szCs w:val="22"/>
              </w:rPr>
            </w:pPr>
          </w:p>
        </w:tc>
        <w:tc>
          <w:tcPr>
            <w:tcW w:w="3702" w:type="dxa"/>
            <w:vAlign w:val="center"/>
            <w:hideMark/>
          </w:tcPr>
          <w:p w14:paraId="1C874479" w14:textId="77777777" w:rsidR="00271DB3" w:rsidRDefault="00271DB3">
            <w:pPr>
              <w:rPr>
                <w:sz w:val="22"/>
                <w:szCs w:val="22"/>
              </w:rPr>
            </w:pPr>
            <w:r>
              <w:rPr>
                <w:sz w:val="22"/>
                <w:szCs w:val="22"/>
              </w:rPr>
              <w:t>Attenuation Correction (PET/SPECT)  </w:t>
            </w:r>
          </w:p>
        </w:tc>
        <w:tc>
          <w:tcPr>
            <w:tcW w:w="1521" w:type="dxa"/>
            <w:vAlign w:val="center"/>
            <w:hideMark/>
          </w:tcPr>
          <w:p w14:paraId="0C5AA742" w14:textId="77777777" w:rsidR="00271DB3" w:rsidRDefault="00271DB3">
            <w:pPr>
              <w:jc w:val="center"/>
              <w:rPr>
                <w:sz w:val="22"/>
                <w:szCs w:val="22"/>
              </w:rPr>
            </w:pPr>
            <w:r>
              <w:rPr>
                <w:sz w:val="22"/>
                <w:szCs w:val="22"/>
              </w:rPr>
              <w:t>$490  </w:t>
            </w:r>
          </w:p>
        </w:tc>
        <w:tc>
          <w:tcPr>
            <w:tcW w:w="1581" w:type="dxa"/>
            <w:vAlign w:val="center"/>
            <w:hideMark/>
          </w:tcPr>
          <w:p w14:paraId="0CCF4587" w14:textId="77777777" w:rsidR="00271DB3" w:rsidRDefault="00271DB3">
            <w:pPr>
              <w:jc w:val="center"/>
              <w:rPr>
                <w:sz w:val="22"/>
                <w:szCs w:val="22"/>
              </w:rPr>
            </w:pPr>
            <w:r>
              <w:rPr>
                <w:sz w:val="22"/>
                <w:szCs w:val="22"/>
              </w:rPr>
              <w:t>$615  </w:t>
            </w:r>
          </w:p>
        </w:tc>
      </w:tr>
      <w:tr w:rsidR="00271DB3" w14:paraId="7EA58BFA" w14:textId="77777777" w:rsidTr="00602481">
        <w:trPr>
          <w:trHeight w:hRule="exact" w:val="288"/>
        </w:trPr>
        <w:tc>
          <w:tcPr>
            <w:tcW w:w="2561" w:type="dxa"/>
            <w:vMerge/>
            <w:vAlign w:val="center"/>
            <w:hideMark/>
          </w:tcPr>
          <w:p w14:paraId="6A725378" w14:textId="77777777" w:rsidR="00271DB3" w:rsidRDefault="00271DB3">
            <w:pPr>
              <w:rPr>
                <w:b/>
                <w:bCs/>
                <w:sz w:val="22"/>
                <w:szCs w:val="22"/>
              </w:rPr>
            </w:pPr>
          </w:p>
        </w:tc>
        <w:tc>
          <w:tcPr>
            <w:tcW w:w="3702" w:type="dxa"/>
            <w:vAlign w:val="center"/>
            <w:hideMark/>
          </w:tcPr>
          <w:p w14:paraId="3EF9002E" w14:textId="77777777" w:rsidR="00271DB3" w:rsidRDefault="00271DB3">
            <w:pPr>
              <w:rPr>
                <w:sz w:val="22"/>
                <w:szCs w:val="22"/>
              </w:rPr>
            </w:pPr>
            <w:r>
              <w:rPr>
                <w:sz w:val="22"/>
                <w:szCs w:val="22"/>
              </w:rPr>
              <w:t>Portable  </w:t>
            </w:r>
          </w:p>
        </w:tc>
        <w:tc>
          <w:tcPr>
            <w:tcW w:w="1521" w:type="dxa"/>
            <w:vAlign w:val="center"/>
            <w:hideMark/>
          </w:tcPr>
          <w:p w14:paraId="7188B987" w14:textId="77777777" w:rsidR="00271DB3" w:rsidRDefault="00271DB3">
            <w:pPr>
              <w:jc w:val="center"/>
              <w:rPr>
                <w:sz w:val="22"/>
                <w:szCs w:val="22"/>
              </w:rPr>
            </w:pPr>
            <w:r>
              <w:rPr>
                <w:sz w:val="22"/>
                <w:szCs w:val="22"/>
              </w:rPr>
              <w:t>$783  </w:t>
            </w:r>
          </w:p>
        </w:tc>
        <w:tc>
          <w:tcPr>
            <w:tcW w:w="1581" w:type="dxa"/>
            <w:vAlign w:val="center"/>
            <w:hideMark/>
          </w:tcPr>
          <w:p w14:paraId="25426190" w14:textId="77777777" w:rsidR="00271DB3" w:rsidRDefault="00271DB3">
            <w:pPr>
              <w:jc w:val="center"/>
              <w:rPr>
                <w:sz w:val="22"/>
                <w:szCs w:val="22"/>
              </w:rPr>
            </w:pPr>
            <w:r>
              <w:rPr>
                <w:sz w:val="22"/>
                <w:szCs w:val="22"/>
              </w:rPr>
              <w:t>$983 </w:t>
            </w:r>
          </w:p>
        </w:tc>
      </w:tr>
      <w:tr w:rsidR="00271DB3" w14:paraId="6259F36F" w14:textId="77777777" w:rsidTr="00602481">
        <w:trPr>
          <w:trHeight w:hRule="exact" w:val="288"/>
        </w:trPr>
        <w:tc>
          <w:tcPr>
            <w:tcW w:w="2561" w:type="dxa"/>
            <w:vMerge/>
            <w:vAlign w:val="center"/>
            <w:hideMark/>
          </w:tcPr>
          <w:p w14:paraId="2FF7FEA4" w14:textId="77777777" w:rsidR="00271DB3" w:rsidRDefault="00271DB3">
            <w:pPr>
              <w:rPr>
                <w:b/>
                <w:bCs/>
                <w:sz w:val="22"/>
                <w:szCs w:val="22"/>
              </w:rPr>
            </w:pPr>
          </w:p>
        </w:tc>
        <w:tc>
          <w:tcPr>
            <w:tcW w:w="3702" w:type="dxa"/>
            <w:vAlign w:val="center"/>
            <w:hideMark/>
          </w:tcPr>
          <w:p w14:paraId="57F0A721" w14:textId="77777777" w:rsidR="00271DB3" w:rsidRDefault="00271DB3">
            <w:pPr>
              <w:rPr>
                <w:sz w:val="22"/>
                <w:szCs w:val="22"/>
              </w:rPr>
            </w:pPr>
            <w:r>
              <w:rPr>
                <w:sz w:val="22"/>
                <w:szCs w:val="22"/>
              </w:rPr>
              <w:t>Mobile  </w:t>
            </w:r>
          </w:p>
        </w:tc>
        <w:tc>
          <w:tcPr>
            <w:tcW w:w="1521" w:type="dxa"/>
            <w:vAlign w:val="center"/>
            <w:hideMark/>
          </w:tcPr>
          <w:p w14:paraId="464876C1" w14:textId="77777777" w:rsidR="00271DB3" w:rsidRDefault="00271DB3">
            <w:pPr>
              <w:jc w:val="center"/>
              <w:rPr>
                <w:sz w:val="22"/>
                <w:szCs w:val="22"/>
              </w:rPr>
            </w:pPr>
            <w:r>
              <w:rPr>
                <w:sz w:val="22"/>
                <w:szCs w:val="22"/>
              </w:rPr>
              <w:t>$783  </w:t>
            </w:r>
          </w:p>
        </w:tc>
        <w:tc>
          <w:tcPr>
            <w:tcW w:w="1581" w:type="dxa"/>
            <w:vAlign w:val="center"/>
            <w:hideMark/>
          </w:tcPr>
          <w:p w14:paraId="650094D1" w14:textId="77777777" w:rsidR="00271DB3" w:rsidRDefault="00271DB3">
            <w:pPr>
              <w:jc w:val="center"/>
              <w:rPr>
                <w:sz w:val="22"/>
                <w:szCs w:val="22"/>
              </w:rPr>
            </w:pPr>
            <w:r>
              <w:rPr>
                <w:sz w:val="22"/>
                <w:szCs w:val="22"/>
              </w:rPr>
              <w:t>$983 </w:t>
            </w:r>
          </w:p>
        </w:tc>
      </w:tr>
      <w:tr w:rsidR="00271DB3" w14:paraId="0D7DABE0" w14:textId="77777777" w:rsidTr="00602481">
        <w:trPr>
          <w:trHeight w:hRule="exact" w:val="288"/>
        </w:trPr>
        <w:tc>
          <w:tcPr>
            <w:tcW w:w="2561" w:type="dxa"/>
            <w:vMerge/>
            <w:vAlign w:val="center"/>
            <w:hideMark/>
          </w:tcPr>
          <w:p w14:paraId="2FDCDD8A" w14:textId="77777777" w:rsidR="00271DB3" w:rsidRDefault="00271DB3">
            <w:pPr>
              <w:rPr>
                <w:b/>
                <w:bCs/>
                <w:sz w:val="22"/>
                <w:szCs w:val="22"/>
              </w:rPr>
            </w:pPr>
          </w:p>
        </w:tc>
        <w:tc>
          <w:tcPr>
            <w:tcW w:w="3702" w:type="dxa"/>
            <w:vAlign w:val="center"/>
            <w:hideMark/>
          </w:tcPr>
          <w:p w14:paraId="472BC668" w14:textId="77777777" w:rsidR="00271DB3" w:rsidRDefault="00271DB3">
            <w:pPr>
              <w:rPr>
                <w:sz w:val="22"/>
                <w:szCs w:val="22"/>
              </w:rPr>
            </w:pPr>
            <w:r>
              <w:rPr>
                <w:sz w:val="22"/>
                <w:szCs w:val="22"/>
              </w:rPr>
              <w:t>Educational  </w:t>
            </w:r>
          </w:p>
        </w:tc>
        <w:tc>
          <w:tcPr>
            <w:tcW w:w="1521" w:type="dxa"/>
            <w:vAlign w:val="center"/>
            <w:hideMark/>
          </w:tcPr>
          <w:p w14:paraId="7567645C" w14:textId="77777777" w:rsidR="00271DB3" w:rsidRDefault="00271DB3">
            <w:pPr>
              <w:jc w:val="center"/>
              <w:rPr>
                <w:sz w:val="22"/>
                <w:szCs w:val="22"/>
              </w:rPr>
            </w:pPr>
            <w:r>
              <w:rPr>
                <w:sz w:val="22"/>
                <w:szCs w:val="22"/>
              </w:rPr>
              <w:t>$783  </w:t>
            </w:r>
          </w:p>
        </w:tc>
        <w:tc>
          <w:tcPr>
            <w:tcW w:w="1581" w:type="dxa"/>
            <w:vAlign w:val="center"/>
            <w:hideMark/>
          </w:tcPr>
          <w:p w14:paraId="1A8222CC" w14:textId="77777777" w:rsidR="00271DB3" w:rsidRDefault="00271DB3">
            <w:pPr>
              <w:jc w:val="center"/>
              <w:rPr>
                <w:sz w:val="22"/>
                <w:szCs w:val="22"/>
              </w:rPr>
            </w:pPr>
            <w:r>
              <w:rPr>
                <w:sz w:val="22"/>
                <w:szCs w:val="22"/>
              </w:rPr>
              <w:t>$983  </w:t>
            </w:r>
          </w:p>
        </w:tc>
      </w:tr>
      <w:tr w:rsidR="00271DB3" w14:paraId="0B51B79B" w14:textId="77777777" w:rsidTr="00602481">
        <w:trPr>
          <w:trHeight w:hRule="exact" w:val="288"/>
        </w:trPr>
        <w:tc>
          <w:tcPr>
            <w:tcW w:w="2561" w:type="dxa"/>
            <w:vMerge w:val="restart"/>
            <w:hideMark/>
          </w:tcPr>
          <w:p w14:paraId="293779F5" w14:textId="77777777" w:rsidR="00271DB3" w:rsidRDefault="00271DB3">
            <w:pPr>
              <w:rPr>
                <w:b/>
                <w:bCs/>
                <w:sz w:val="22"/>
                <w:szCs w:val="22"/>
              </w:rPr>
            </w:pPr>
            <w:r>
              <w:rPr>
                <w:b/>
                <w:bCs/>
                <w:sz w:val="22"/>
                <w:szCs w:val="22"/>
              </w:rPr>
              <w:t>Mammography</w:t>
            </w:r>
            <w:r>
              <w:rPr>
                <w:sz w:val="22"/>
                <w:szCs w:val="22"/>
              </w:rPr>
              <w:t>  </w:t>
            </w:r>
          </w:p>
        </w:tc>
        <w:tc>
          <w:tcPr>
            <w:tcW w:w="3702" w:type="dxa"/>
            <w:vAlign w:val="center"/>
            <w:hideMark/>
          </w:tcPr>
          <w:p w14:paraId="504E6DB7" w14:textId="77777777" w:rsidR="00271DB3" w:rsidRDefault="00271DB3">
            <w:pPr>
              <w:rPr>
                <w:sz w:val="22"/>
                <w:szCs w:val="22"/>
              </w:rPr>
            </w:pPr>
            <w:r>
              <w:rPr>
                <w:sz w:val="22"/>
                <w:szCs w:val="22"/>
              </w:rPr>
              <w:t>Standard (including tomography)  </w:t>
            </w:r>
          </w:p>
        </w:tc>
        <w:tc>
          <w:tcPr>
            <w:tcW w:w="1521" w:type="dxa"/>
            <w:vAlign w:val="center"/>
            <w:hideMark/>
          </w:tcPr>
          <w:p w14:paraId="6BD3EAC8" w14:textId="77777777" w:rsidR="00271DB3" w:rsidRDefault="00271DB3">
            <w:pPr>
              <w:jc w:val="center"/>
              <w:rPr>
                <w:sz w:val="22"/>
                <w:szCs w:val="22"/>
              </w:rPr>
            </w:pPr>
            <w:r>
              <w:rPr>
                <w:sz w:val="22"/>
                <w:szCs w:val="22"/>
              </w:rPr>
              <w:t>$0  </w:t>
            </w:r>
          </w:p>
        </w:tc>
        <w:tc>
          <w:tcPr>
            <w:tcW w:w="1581" w:type="dxa"/>
            <w:vAlign w:val="center"/>
            <w:hideMark/>
          </w:tcPr>
          <w:p w14:paraId="3BE2EAAD" w14:textId="77777777" w:rsidR="00271DB3" w:rsidRDefault="00271DB3">
            <w:pPr>
              <w:jc w:val="center"/>
              <w:rPr>
                <w:sz w:val="22"/>
                <w:szCs w:val="22"/>
              </w:rPr>
            </w:pPr>
            <w:r>
              <w:rPr>
                <w:sz w:val="22"/>
                <w:szCs w:val="22"/>
              </w:rPr>
              <w:t>$0  </w:t>
            </w:r>
          </w:p>
        </w:tc>
      </w:tr>
      <w:tr w:rsidR="00271DB3" w14:paraId="04006947" w14:textId="77777777" w:rsidTr="00602481">
        <w:trPr>
          <w:trHeight w:hRule="exact" w:val="288"/>
        </w:trPr>
        <w:tc>
          <w:tcPr>
            <w:tcW w:w="2561" w:type="dxa"/>
            <w:vMerge/>
            <w:vAlign w:val="center"/>
            <w:hideMark/>
          </w:tcPr>
          <w:p w14:paraId="58FD7718" w14:textId="77777777" w:rsidR="00271DB3" w:rsidRDefault="00271DB3">
            <w:pPr>
              <w:rPr>
                <w:b/>
                <w:bCs/>
                <w:sz w:val="22"/>
                <w:szCs w:val="22"/>
              </w:rPr>
            </w:pPr>
          </w:p>
        </w:tc>
        <w:tc>
          <w:tcPr>
            <w:tcW w:w="3702" w:type="dxa"/>
            <w:vAlign w:val="center"/>
            <w:hideMark/>
          </w:tcPr>
          <w:p w14:paraId="0ECEBFFE" w14:textId="77777777" w:rsidR="00271DB3" w:rsidRDefault="00271DB3">
            <w:pPr>
              <w:rPr>
                <w:sz w:val="22"/>
                <w:szCs w:val="22"/>
              </w:rPr>
            </w:pPr>
            <w:r>
              <w:rPr>
                <w:sz w:val="22"/>
                <w:szCs w:val="22"/>
              </w:rPr>
              <w:t>Stereotactic Mammography  </w:t>
            </w:r>
          </w:p>
        </w:tc>
        <w:tc>
          <w:tcPr>
            <w:tcW w:w="1521" w:type="dxa"/>
            <w:vAlign w:val="center"/>
            <w:hideMark/>
          </w:tcPr>
          <w:p w14:paraId="2CA838CF" w14:textId="77777777" w:rsidR="00271DB3" w:rsidRDefault="00271DB3">
            <w:pPr>
              <w:jc w:val="center"/>
              <w:rPr>
                <w:sz w:val="22"/>
                <w:szCs w:val="22"/>
              </w:rPr>
            </w:pPr>
            <w:r>
              <w:rPr>
                <w:sz w:val="22"/>
                <w:szCs w:val="22"/>
              </w:rPr>
              <w:t>$55  </w:t>
            </w:r>
          </w:p>
        </w:tc>
        <w:tc>
          <w:tcPr>
            <w:tcW w:w="1581" w:type="dxa"/>
            <w:vAlign w:val="center"/>
            <w:hideMark/>
          </w:tcPr>
          <w:p w14:paraId="4C982641" w14:textId="77777777" w:rsidR="00271DB3" w:rsidRDefault="00271DB3">
            <w:pPr>
              <w:jc w:val="center"/>
              <w:rPr>
                <w:sz w:val="22"/>
                <w:szCs w:val="22"/>
              </w:rPr>
            </w:pPr>
            <w:r>
              <w:rPr>
                <w:sz w:val="22"/>
                <w:szCs w:val="22"/>
              </w:rPr>
              <w:t>$70  </w:t>
            </w:r>
          </w:p>
        </w:tc>
      </w:tr>
      <w:tr w:rsidR="00271DB3" w14:paraId="317265C6" w14:textId="77777777" w:rsidTr="00602481">
        <w:trPr>
          <w:trHeight w:hRule="exact" w:val="288"/>
        </w:trPr>
        <w:tc>
          <w:tcPr>
            <w:tcW w:w="2561" w:type="dxa"/>
            <w:vMerge w:val="restart"/>
            <w:hideMark/>
          </w:tcPr>
          <w:p w14:paraId="1ED37E38" w14:textId="77777777" w:rsidR="00271DB3" w:rsidRDefault="00271DB3">
            <w:pPr>
              <w:rPr>
                <w:b/>
                <w:bCs/>
                <w:sz w:val="22"/>
                <w:szCs w:val="22"/>
              </w:rPr>
            </w:pPr>
            <w:r>
              <w:rPr>
                <w:b/>
                <w:bCs/>
                <w:sz w:val="22"/>
                <w:szCs w:val="22"/>
              </w:rPr>
              <w:t>Bone Densitometer</w:t>
            </w:r>
            <w:r>
              <w:rPr>
                <w:sz w:val="22"/>
                <w:szCs w:val="22"/>
              </w:rPr>
              <w:t>  </w:t>
            </w:r>
          </w:p>
        </w:tc>
        <w:tc>
          <w:tcPr>
            <w:tcW w:w="3702" w:type="dxa"/>
            <w:vAlign w:val="center"/>
            <w:hideMark/>
          </w:tcPr>
          <w:p w14:paraId="329DF160" w14:textId="77777777" w:rsidR="00271DB3" w:rsidRDefault="00271DB3">
            <w:pPr>
              <w:rPr>
                <w:sz w:val="22"/>
                <w:szCs w:val="22"/>
              </w:rPr>
            </w:pPr>
            <w:r>
              <w:rPr>
                <w:sz w:val="22"/>
                <w:szCs w:val="22"/>
              </w:rPr>
              <w:t>Standard  </w:t>
            </w:r>
          </w:p>
        </w:tc>
        <w:tc>
          <w:tcPr>
            <w:tcW w:w="1521" w:type="dxa"/>
            <w:vAlign w:val="center"/>
            <w:hideMark/>
          </w:tcPr>
          <w:p w14:paraId="7041D134" w14:textId="77777777" w:rsidR="00271DB3" w:rsidRDefault="00271DB3">
            <w:pPr>
              <w:jc w:val="center"/>
              <w:rPr>
                <w:sz w:val="22"/>
                <w:szCs w:val="22"/>
              </w:rPr>
            </w:pPr>
            <w:r>
              <w:rPr>
                <w:sz w:val="22"/>
                <w:szCs w:val="22"/>
              </w:rPr>
              <w:t>$84  </w:t>
            </w:r>
          </w:p>
        </w:tc>
        <w:tc>
          <w:tcPr>
            <w:tcW w:w="1581" w:type="dxa"/>
            <w:vAlign w:val="center"/>
            <w:hideMark/>
          </w:tcPr>
          <w:p w14:paraId="2803B639" w14:textId="77777777" w:rsidR="00271DB3" w:rsidRDefault="00271DB3">
            <w:pPr>
              <w:jc w:val="center"/>
              <w:rPr>
                <w:sz w:val="22"/>
                <w:szCs w:val="22"/>
              </w:rPr>
            </w:pPr>
            <w:r>
              <w:rPr>
                <w:sz w:val="22"/>
                <w:szCs w:val="22"/>
              </w:rPr>
              <w:t>$106 </w:t>
            </w:r>
          </w:p>
        </w:tc>
      </w:tr>
      <w:tr w:rsidR="00271DB3" w14:paraId="6A01449D" w14:textId="77777777" w:rsidTr="00602481">
        <w:trPr>
          <w:trHeight w:hRule="exact" w:val="288"/>
        </w:trPr>
        <w:tc>
          <w:tcPr>
            <w:tcW w:w="2561" w:type="dxa"/>
            <w:vMerge/>
            <w:vAlign w:val="center"/>
            <w:hideMark/>
          </w:tcPr>
          <w:p w14:paraId="0CB73832" w14:textId="77777777" w:rsidR="00271DB3" w:rsidRDefault="00271DB3">
            <w:pPr>
              <w:rPr>
                <w:b/>
                <w:bCs/>
                <w:sz w:val="22"/>
                <w:szCs w:val="22"/>
              </w:rPr>
            </w:pPr>
          </w:p>
        </w:tc>
        <w:tc>
          <w:tcPr>
            <w:tcW w:w="3702" w:type="dxa"/>
            <w:vAlign w:val="center"/>
            <w:hideMark/>
          </w:tcPr>
          <w:p w14:paraId="6BF392C7" w14:textId="77777777" w:rsidR="00271DB3" w:rsidRDefault="00271DB3">
            <w:pPr>
              <w:rPr>
                <w:sz w:val="22"/>
                <w:szCs w:val="22"/>
              </w:rPr>
            </w:pPr>
            <w:r>
              <w:rPr>
                <w:sz w:val="22"/>
                <w:szCs w:val="22"/>
              </w:rPr>
              <w:t>Body Composition Scanner  </w:t>
            </w:r>
          </w:p>
        </w:tc>
        <w:tc>
          <w:tcPr>
            <w:tcW w:w="1521" w:type="dxa"/>
            <w:vAlign w:val="center"/>
            <w:hideMark/>
          </w:tcPr>
          <w:p w14:paraId="7A52DA78" w14:textId="77777777" w:rsidR="00271DB3" w:rsidRDefault="00271DB3">
            <w:pPr>
              <w:jc w:val="center"/>
              <w:rPr>
                <w:sz w:val="22"/>
                <w:szCs w:val="22"/>
              </w:rPr>
            </w:pPr>
            <w:r>
              <w:rPr>
                <w:sz w:val="22"/>
                <w:szCs w:val="22"/>
              </w:rPr>
              <w:t>$84  </w:t>
            </w:r>
          </w:p>
        </w:tc>
        <w:tc>
          <w:tcPr>
            <w:tcW w:w="1581" w:type="dxa"/>
            <w:vAlign w:val="center"/>
            <w:hideMark/>
          </w:tcPr>
          <w:p w14:paraId="5794294D" w14:textId="77777777" w:rsidR="00271DB3" w:rsidRDefault="00271DB3">
            <w:pPr>
              <w:jc w:val="center"/>
              <w:rPr>
                <w:sz w:val="22"/>
                <w:szCs w:val="22"/>
              </w:rPr>
            </w:pPr>
            <w:r>
              <w:rPr>
                <w:sz w:val="22"/>
                <w:szCs w:val="22"/>
              </w:rPr>
              <w:t>$106 </w:t>
            </w:r>
          </w:p>
        </w:tc>
      </w:tr>
      <w:tr w:rsidR="00271DB3" w14:paraId="69067AE1" w14:textId="77777777" w:rsidTr="00602481">
        <w:trPr>
          <w:trHeight w:hRule="exact" w:val="288"/>
        </w:trPr>
        <w:tc>
          <w:tcPr>
            <w:tcW w:w="2561" w:type="dxa"/>
            <w:vMerge w:val="restart"/>
            <w:hideMark/>
          </w:tcPr>
          <w:p w14:paraId="4DB22C7A" w14:textId="77777777" w:rsidR="00271DB3" w:rsidRDefault="00271DB3">
            <w:pPr>
              <w:rPr>
                <w:b/>
                <w:bCs/>
                <w:sz w:val="22"/>
                <w:szCs w:val="22"/>
              </w:rPr>
            </w:pPr>
            <w:r>
              <w:rPr>
                <w:b/>
                <w:bCs/>
                <w:sz w:val="22"/>
                <w:szCs w:val="22"/>
              </w:rPr>
              <w:t>Industrial</w:t>
            </w:r>
            <w:r>
              <w:rPr>
                <w:sz w:val="22"/>
                <w:szCs w:val="22"/>
              </w:rPr>
              <w:t>  </w:t>
            </w:r>
          </w:p>
        </w:tc>
        <w:tc>
          <w:tcPr>
            <w:tcW w:w="3702" w:type="dxa"/>
            <w:vAlign w:val="center"/>
            <w:hideMark/>
          </w:tcPr>
          <w:p w14:paraId="47611E4F" w14:textId="77777777" w:rsidR="00271DB3" w:rsidRDefault="00271DB3">
            <w:pPr>
              <w:rPr>
                <w:sz w:val="22"/>
                <w:szCs w:val="22"/>
              </w:rPr>
            </w:pPr>
            <w:r>
              <w:rPr>
                <w:sz w:val="22"/>
                <w:szCs w:val="22"/>
              </w:rPr>
              <w:t>Cabinet X-ray  </w:t>
            </w:r>
          </w:p>
        </w:tc>
        <w:tc>
          <w:tcPr>
            <w:tcW w:w="1521" w:type="dxa"/>
            <w:vAlign w:val="center"/>
            <w:hideMark/>
          </w:tcPr>
          <w:p w14:paraId="73D49C4E" w14:textId="77777777" w:rsidR="00271DB3" w:rsidRDefault="00271DB3">
            <w:pPr>
              <w:jc w:val="center"/>
              <w:rPr>
                <w:sz w:val="22"/>
                <w:szCs w:val="22"/>
              </w:rPr>
            </w:pPr>
            <w:r>
              <w:rPr>
                <w:sz w:val="22"/>
                <w:szCs w:val="22"/>
              </w:rPr>
              <w:t>$133  </w:t>
            </w:r>
          </w:p>
        </w:tc>
        <w:tc>
          <w:tcPr>
            <w:tcW w:w="1581" w:type="dxa"/>
            <w:vAlign w:val="center"/>
            <w:hideMark/>
          </w:tcPr>
          <w:p w14:paraId="3E7D53D9" w14:textId="77777777" w:rsidR="00271DB3" w:rsidRDefault="00271DB3">
            <w:pPr>
              <w:jc w:val="center"/>
              <w:rPr>
                <w:sz w:val="22"/>
                <w:szCs w:val="22"/>
              </w:rPr>
            </w:pPr>
            <w:r>
              <w:rPr>
                <w:sz w:val="22"/>
                <w:szCs w:val="22"/>
              </w:rPr>
              <w:t>$167  </w:t>
            </w:r>
          </w:p>
        </w:tc>
      </w:tr>
      <w:tr w:rsidR="00271DB3" w14:paraId="2FF262B6" w14:textId="77777777" w:rsidTr="00602481">
        <w:trPr>
          <w:trHeight w:hRule="exact" w:val="288"/>
        </w:trPr>
        <w:tc>
          <w:tcPr>
            <w:tcW w:w="2561" w:type="dxa"/>
            <w:vMerge/>
            <w:vAlign w:val="center"/>
            <w:hideMark/>
          </w:tcPr>
          <w:p w14:paraId="38A4FBC8" w14:textId="77777777" w:rsidR="00271DB3" w:rsidRDefault="00271DB3">
            <w:pPr>
              <w:rPr>
                <w:b/>
                <w:bCs/>
                <w:sz w:val="22"/>
                <w:szCs w:val="22"/>
              </w:rPr>
            </w:pPr>
          </w:p>
        </w:tc>
        <w:tc>
          <w:tcPr>
            <w:tcW w:w="3702" w:type="dxa"/>
            <w:vAlign w:val="center"/>
            <w:hideMark/>
          </w:tcPr>
          <w:p w14:paraId="2C5BECAB" w14:textId="77777777" w:rsidR="00271DB3" w:rsidRDefault="00271DB3">
            <w:pPr>
              <w:rPr>
                <w:sz w:val="22"/>
                <w:szCs w:val="22"/>
              </w:rPr>
            </w:pPr>
            <w:r>
              <w:rPr>
                <w:sz w:val="22"/>
                <w:szCs w:val="22"/>
              </w:rPr>
              <w:t>Blood Irradiator  </w:t>
            </w:r>
          </w:p>
        </w:tc>
        <w:tc>
          <w:tcPr>
            <w:tcW w:w="1521" w:type="dxa"/>
            <w:vAlign w:val="center"/>
            <w:hideMark/>
          </w:tcPr>
          <w:p w14:paraId="5D931AC2" w14:textId="77777777" w:rsidR="00271DB3" w:rsidRDefault="00271DB3">
            <w:pPr>
              <w:jc w:val="center"/>
              <w:rPr>
                <w:sz w:val="22"/>
                <w:szCs w:val="22"/>
              </w:rPr>
            </w:pPr>
            <w:r>
              <w:rPr>
                <w:sz w:val="22"/>
                <w:szCs w:val="22"/>
              </w:rPr>
              <w:t>$133  </w:t>
            </w:r>
          </w:p>
        </w:tc>
        <w:tc>
          <w:tcPr>
            <w:tcW w:w="1581" w:type="dxa"/>
            <w:vAlign w:val="center"/>
            <w:hideMark/>
          </w:tcPr>
          <w:p w14:paraId="6F767EFB" w14:textId="77777777" w:rsidR="00271DB3" w:rsidRDefault="00271DB3">
            <w:pPr>
              <w:jc w:val="center"/>
              <w:rPr>
                <w:sz w:val="22"/>
                <w:szCs w:val="22"/>
              </w:rPr>
            </w:pPr>
            <w:r>
              <w:rPr>
                <w:sz w:val="22"/>
                <w:szCs w:val="22"/>
              </w:rPr>
              <w:t>$167  </w:t>
            </w:r>
          </w:p>
        </w:tc>
      </w:tr>
      <w:tr w:rsidR="00271DB3" w14:paraId="756B3C6C" w14:textId="77777777" w:rsidTr="00602481">
        <w:trPr>
          <w:trHeight w:hRule="exact" w:val="288"/>
        </w:trPr>
        <w:tc>
          <w:tcPr>
            <w:tcW w:w="2561" w:type="dxa"/>
            <w:vMerge/>
            <w:vAlign w:val="center"/>
            <w:hideMark/>
          </w:tcPr>
          <w:p w14:paraId="00C1BFF4" w14:textId="77777777" w:rsidR="00271DB3" w:rsidRDefault="00271DB3">
            <w:pPr>
              <w:rPr>
                <w:b/>
                <w:bCs/>
                <w:sz w:val="22"/>
                <w:szCs w:val="22"/>
              </w:rPr>
            </w:pPr>
          </w:p>
        </w:tc>
        <w:tc>
          <w:tcPr>
            <w:tcW w:w="3702" w:type="dxa"/>
            <w:vAlign w:val="center"/>
            <w:hideMark/>
          </w:tcPr>
          <w:p w14:paraId="23EDB355" w14:textId="77777777" w:rsidR="00271DB3" w:rsidRDefault="00271DB3">
            <w:pPr>
              <w:rPr>
                <w:sz w:val="22"/>
                <w:szCs w:val="22"/>
              </w:rPr>
            </w:pPr>
            <w:r>
              <w:rPr>
                <w:sz w:val="22"/>
                <w:szCs w:val="22"/>
              </w:rPr>
              <w:t>Specimen Analyzer  </w:t>
            </w:r>
          </w:p>
        </w:tc>
        <w:tc>
          <w:tcPr>
            <w:tcW w:w="1521" w:type="dxa"/>
            <w:vAlign w:val="center"/>
            <w:hideMark/>
          </w:tcPr>
          <w:p w14:paraId="7105867D" w14:textId="77777777" w:rsidR="00271DB3" w:rsidRDefault="00271DB3">
            <w:pPr>
              <w:jc w:val="center"/>
              <w:rPr>
                <w:sz w:val="22"/>
                <w:szCs w:val="22"/>
              </w:rPr>
            </w:pPr>
            <w:r>
              <w:rPr>
                <w:sz w:val="22"/>
                <w:szCs w:val="22"/>
              </w:rPr>
              <w:t>$133  </w:t>
            </w:r>
          </w:p>
        </w:tc>
        <w:tc>
          <w:tcPr>
            <w:tcW w:w="1581" w:type="dxa"/>
            <w:vAlign w:val="center"/>
            <w:hideMark/>
          </w:tcPr>
          <w:p w14:paraId="7C05611B" w14:textId="77777777" w:rsidR="00271DB3" w:rsidRDefault="00271DB3">
            <w:pPr>
              <w:jc w:val="center"/>
              <w:rPr>
                <w:sz w:val="22"/>
                <w:szCs w:val="22"/>
              </w:rPr>
            </w:pPr>
            <w:r>
              <w:rPr>
                <w:sz w:val="22"/>
                <w:szCs w:val="22"/>
              </w:rPr>
              <w:t>$167  </w:t>
            </w:r>
          </w:p>
        </w:tc>
      </w:tr>
      <w:tr w:rsidR="00271DB3" w14:paraId="45280012" w14:textId="77777777" w:rsidTr="00602481">
        <w:trPr>
          <w:trHeight w:hRule="exact" w:val="288"/>
        </w:trPr>
        <w:tc>
          <w:tcPr>
            <w:tcW w:w="2561" w:type="dxa"/>
            <w:vMerge/>
            <w:vAlign w:val="center"/>
            <w:hideMark/>
          </w:tcPr>
          <w:p w14:paraId="2DF9DF91" w14:textId="77777777" w:rsidR="00271DB3" w:rsidRDefault="00271DB3">
            <w:pPr>
              <w:rPr>
                <w:b/>
                <w:bCs/>
                <w:sz w:val="22"/>
                <w:szCs w:val="22"/>
              </w:rPr>
            </w:pPr>
          </w:p>
        </w:tc>
        <w:tc>
          <w:tcPr>
            <w:tcW w:w="3702" w:type="dxa"/>
            <w:vAlign w:val="center"/>
            <w:hideMark/>
          </w:tcPr>
          <w:p w14:paraId="6602798B" w14:textId="77777777" w:rsidR="00271DB3" w:rsidRDefault="00271DB3">
            <w:pPr>
              <w:rPr>
                <w:sz w:val="22"/>
                <w:szCs w:val="22"/>
              </w:rPr>
            </w:pPr>
            <w:r>
              <w:rPr>
                <w:sz w:val="22"/>
                <w:szCs w:val="22"/>
              </w:rPr>
              <w:t>Medical Examiner  </w:t>
            </w:r>
          </w:p>
        </w:tc>
        <w:tc>
          <w:tcPr>
            <w:tcW w:w="1521" w:type="dxa"/>
            <w:vAlign w:val="center"/>
            <w:hideMark/>
          </w:tcPr>
          <w:p w14:paraId="07FDA85C" w14:textId="77777777" w:rsidR="00271DB3" w:rsidRDefault="00271DB3">
            <w:pPr>
              <w:jc w:val="center"/>
              <w:rPr>
                <w:sz w:val="22"/>
                <w:szCs w:val="22"/>
              </w:rPr>
            </w:pPr>
            <w:r>
              <w:rPr>
                <w:sz w:val="22"/>
                <w:szCs w:val="22"/>
              </w:rPr>
              <w:t>$133  </w:t>
            </w:r>
          </w:p>
        </w:tc>
        <w:tc>
          <w:tcPr>
            <w:tcW w:w="1581" w:type="dxa"/>
            <w:vAlign w:val="center"/>
            <w:hideMark/>
          </w:tcPr>
          <w:p w14:paraId="29308340" w14:textId="77777777" w:rsidR="00271DB3" w:rsidRDefault="00271DB3">
            <w:pPr>
              <w:jc w:val="center"/>
              <w:rPr>
                <w:sz w:val="22"/>
                <w:szCs w:val="22"/>
              </w:rPr>
            </w:pPr>
            <w:r>
              <w:rPr>
                <w:sz w:val="22"/>
                <w:szCs w:val="22"/>
              </w:rPr>
              <w:t>$167  </w:t>
            </w:r>
          </w:p>
        </w:tc>
      </w:tr>
      <w:tr w:rsidR="00271DB3" w14:paraId="5D405F4F" w14:textId="77777777" w:rsidTr="00602481">
        <w:trPr>
          <w:trHeight w:hRule="exact" w:val="288"/>
        </w:trPr>
        <w:tc>
          <w:tcPr>
            <w:tcW w:w="2561" w:type="dxa"/>
            <w:vMerge/>
            <w:vAlign w:val="center"/>
            <w:hideMark/>
          </w:tcPr>
          <w:p w14:paraId="2A9799DE" w14:textId="77777777" w:rsidR="00271DB3" w:rsidRDefault="00271DB3">
            <w:pPr>
              <w:rPr>
                <w:b/>
                <w:bCs/>
                <w:sz w:val="22"/>
                <w:szCs w:val="22"/>
              </w:rPr>
            </w:pPr>
          </w:p>
        </w:tc>
        <w:tc>
          <w:tcPr>
            <w:tcW w:w="3702" w:type="dxa"/>
            <w:vAlign w:val="center"/>
            <w:hideMark/>
          </w:tcPr>
          <w:p w14:paraId="14F69FA2" w14:textId="74A903E3" w:rsidR="00271DB3" w:rsidRDefault="00271DB3">
            <w:pPr>
              <w:rPr>
                <w:sz w:val="22"/>
                <w:szCs w:val="22"/>
              </w:rPr>
            </w:pPr>
            <w:r>
              <w:rPr>
                <w:sz w:val="22"/>
                <w:szCs w:val="22"/>
              </w:rPr>
              <w:t>Vault (less than 1MeV)  </w:t>
            </w:r>
          </w:p>
        </w:tc>
        <w:tc>
          <w:tcPr>
            <w:tcW w:w="1521" w:type="dxa"/>
            <w:vAlign w:val="center"/>
            <w:hideMark/>
          </w:tcPr>
          <w:p w14:paraId="5456D65A" w14:textId="77777777" w:rsidR="00271DB3" w:rsidRDefault="00271DB3">
            <w:pPr>
              <w:jc w:val="center"/>
              <w:rPr>
                <w:sz w:val="22"/>
                <w:szCs w:val="22"/>
              </w:rPr>
            </w:pPr>
            <w:r>
              <w:rPr>
                <w:sz w:val="22"/>
                <w:szCs w:val="22"/>
              </w:rPr>
              <w:t>$167  </w:t>
            </w:r>
          </w:p>
        </w:tc>
        <w:tc>
          <w:tcPr>
            <w:tcW w:w="1581" w:type="dxa"/>
            <w:vAlign w:val="center"/>
            <w:hideMark/>
          </w:tcPr>
          <w:p w14:paraId="226A25FF" w14:textId="77777777" w:rsidR="00271DB3" w:rsidRDefault="00271DB3">
            <w:pPr>
              <w:jc w:val="center"/>
              <w:rPr>
                <w:sz w:val="22"/>
                <w:szCs w:val="22"/>
              </w:rPr>
            </w:pPr>
            <w:r>
              <w:rPr>
                <w:sz w:val="22"/>
                <w:szCs w:val="22"/>
              </w:rPr>
              <w:t>$210  </w:t>
            </w:r>
          </w:p>
        </w:tc>
      </w:tr>
      <w:tr w:rsidR="00271DB3" w14:paraId="15EE3D9E" w14:textId="77777777" w:rsidTr="00602481">
        <w:trPr>
          <w:trHeight w:hRule="exact" w:val="288"/>
        </w:trPr>
        <w:tc>
          <w:tcPr>
            <w:tcW w:w="2561" w:type="dxa"/>
            <w:vMerge/>
            <w:vAlign w:val="center"/>
            <w:hideMark/>
          </w:tcPr>
          <w:p w14:paraId="099531F8" w14:textId="77777777" w:rsidR="00271DB3" w:rsidRDefault="00271DB3">
            <w:pPr>
              <w:rPr>
                <w:b/>
                <w:bCs/>
                <w:sz w:val="22"/>
                <w:szCs w:val="22"/>
              </w:rPr>
            </w:pPr>
          </w:p>
        </w:tc>
        <w:tc>
          <w:tcPr>
            <w:tcW w:w="3702" w:type="dxa"/>
            <w:vAlign w:val="center"/>
            <w:hideMark/>
          </w:tcPr>
          <w:p w14:paraId="3BAAA985" w14:textId="77777777" w:rsidR="00271DB3" w:rsidRDefault="00271DB3">
            <w:pPr>
              <w:rPr>
                <w:sz w:val="22"/>
                <w:szCs w:val="22"/>
              </w:rPr>
            </w:pPr>
            <w:r>
              <w:rPr>
                <w:sz w:val="22"/>
                <w:szCs w:val="22"/>
              </w:rPr>
              <w:t>Vault (greater than 1MeV)  </w:t>
            </w:r>
          </w:p>
        </w:tc>
        <w:tc>
          <w:tcPr>
            <w:tcW w:w="1521" w:type="dxa"/>
            <w:vAlign w:val="center"/>
            <w:hideMark/>
          </w:tcPr>
          <w:p w14:paraId="1D363686" w14:textId="77777777" w:rsidR="00271DB3" w:rsidRDefault="00271DB3">
            <w:pPr>
              <w:jc w:val="center"/>
              <w:rPr>
                <w:sz w:val="22"/>
                <w:szCs w:val="22"/>
              </w:rPr>
            </w:pPr>
            <w:r>
              <w:rPr>
                <w:sz w:val="22"/>
                <w:szCs w:val="22"/>
              </w:rPr>
              <w:t>$331  </w:t>
            </w:r>
          </w:p>
        </w:tc>
        <w:tc>
          <w:tcPr>
            <w:tcW w:w="1581" w:type="dxa"/>
            <w:vAlign w:val="center"/>
            <w:hideMark/>
          </w:tcPr>
          <w:p w14:paraId="43D6790A" w14:textId="77777777" w:rsidR="00271DB3" w:rsidRDefault="00271DB3">
            <w:pPr>
              <w:jc w:val="center"/>
              <w:rPr>
                <w:sz w:val="22"/>
                <w:szCs w:val="22"/>
              </w:rPr>
            </w:pPr>
            <w:r>
              <w:rPr>
                <w:sz w:val="22"/>
                <w:szCs w:val="22"/>
              </w:rPr>
              <w:t>$416  </w:t>
            </w:r>
          </w:p>
        </w:tc>
      </w:tr>
      <w:tr w:rsidR="00271DB3" w14:paraId="19FB88F3" w14:textId="77777777" w:rsidTr="00602481">
        <w:trPr>
          <w:trHeight w:hRule="exact" w:val="288"/>
        </w:trPr>
        <w:tc>
          <w:tcPr>
            <w:tcW w:w="2561" w:type="dxa"/>
            <w:vMerge/>
            <w:vAlign w:val="center"/>
            <w:hideMark/>
          </w:tcPr>
          <w:p w14:paraId="6FBE86B9" w14:textId="77777777" w:rsidR="00271DB3" w:rsidRDefault="00271DB3">
            <w:pPr>
              <w:rPr>
                <w:b/>
                <w:bCs/>
                <w:sz w:val="22"/>
                <w:szCs w:val="22"/>
              </w:rPr>
            </w:pPr>
          </w:p>
        </w:tc>
        <w:tc>
          <w:tcPr>
            <w:tcW w:w="3702" w:type="dxa"/>
            <w:vAlign w:val="center"/>
            <w:hideMark/>
          </w:tcPr>
          <w:p w14:paraId="7B436D7A" w14:textId="77777777" w:rsidR="00271DB3" w:rsidRDefault="00271DB3">
            <w:pPr>
              <w:rPr>
                <w:sz w:val="22"/>
                <w:szCs w:val="22"/>
              </w:rPr>
            </w:pPr>
            <w:r>
              <w:rPr>
                <w:sz w:val="22"/>
                <w:szCs w:val="22"/>
              </w:rPr>
              <w:t>Open Beam Radiography  </w:t>
            </w:r>
          </w:p>
        </w:tc>
        <w:tc>
          <w:tcPr>
            <w:tcW w:w="1521" w:type="dxa"/>
            <w:vAlign w:val="center"/>
            <w:hideMark/>
          </w:tcPr>
          <w:p w14:paraId="64CBCE57" w14:textId="77777777" w:rsidR="00271DB3" w:rsidRDefault="00271DB3">
            <w:pPr>
              <w:jc w:val="center"/>
              <w:rPr>
                <w:sz w:val="22"/>
                <w:szCs w:val="22"/>
              </w:rPr>
            </w:pPr>
            <w:r>
              <w:rPr>
                <w:sz w:val="22"/>
                <w:szCs w:val="22"/>
              </w:rPr>
              <w:t>$133  </w:t>
            </w:r>
          </w:p>
        </w:tc>
        <w:tc>
          <w:tcPr>
            <w:tcW w:w="1581" w:type="dxa"/>
            <w:vAlign w:val="center"/>
            <w:hideMark/>
          </w:tcPr>
          <w:p w14:paraId="79B7C488" w14:textId="77777777" w:rsidR="00271DB3" w:rsidRDefault="00271DB3">
            <w:pPr>
              <w:jc w:val="center"/>
              <w:rPr>
                <w:sz w:val="22"/>
                <w:szCs w:val="22"/>
              </w:rPr>
            </w:pPr>
            <w:r>
              <w:rPr>
                <w:sz w:val="22"/>
                <w:szCs w:val="22"/>
              </w:rPr>
              <w:t>$167  </w:t>
            </w:r>
          </w:p>
        </w:tc>
      </w:tr>
      <w:tr w:rsidR="00271DB3" w14:paraId="3AEB89FA" w14:textId="77777777" w:rsidTr="00602481">
        <w:trPr>
          <w:trHeight w:hRule="exact" w:val="288"/>
        </w:trPr>
        <w:tc>
          <w:tcPr>
            <w:tcW w:w="2561" w:type="dxa"/>
            <w:vMerge/>
            <w:vAlign w:val="center"/>
            <w:hideMark/>
          </w:tcPr>
          <w:p w14:paraId="61C18959" w14:textId="77777777" w:rsidR="00271DB3" w:rsidRDefault="00271DB3">
            <w:pPr>
              <w:rPr>
                <w:b/>
                <w:bCs/>
                <w:sz w:val="22"/>
                <w:szCs w:val="22"/>
              </w:rPr>
            </w:pPr>
          </w:p>
        </w:tc>
        <w:tc>
          <w:tcPr>
            <w:tcW w:w="3702" w:type="dxa"/>
            <w:vAlign w:val="center"/>
            <w:hideMark/>
          </w:tcPr>
          <w:p w14:paraId="58BF0894" w14:textId="77777777" w:rsidR="00271DB3" w:rsidRDefault="00271DB3">
            <w:pPr>
              <w:rPr>
                <w:sz w:val="22"/>
                <w:szCs w:val="22"/>
              </w:rPr>
            </w:pPr>
            <w:r>
              <w:rPr>
                <w:sz w:val="22"/>
                <w:szCs w:val="22"/>
              </w:rPr>
              <w:t>Particle Accelerator  </w:t>
            </w:r>
          </w:p>
        </w:tc>
        <w:tc>
          <w:tcPr>
            <w:tcW w:w="1521" w:type="dxa"/>
            <w:vAlign w:val="center"/>
            <w:hideMark/>
          </w:tcPr>
          <w:p w14:paraId="33B8E929" w14:textId="77777777" w:rsidR="00271DB3" w:rsidRDefault="00271DB3">
            <w:pPr>
              <w:jc w:val="center"/>
              <w:rPr>
                <w:sz w:val="22"/>
                <w:szCs w:val="22"/>
              </w:rPr>
            </w:pPr>
            <w:r>
              <w:rPr>
                <w:sz w:val="22"/>
                <w:szCs w:val="22"/>
              </w:rPr>
              <w:t>$331  </w:t>
            </w:r>
          </w:p>
        </w:tc>
        <w:tc>
          <w:tcPr>
            <w:tcW w:w="1581" w:type="dxa"/>
            <w:vAlign w:val="center"/>
            <w:hideMark/>
          </w:tcPr>
          <w:p w14:paraId="57D5AA1A" w14:textId="77777777" w:rsidR="00271DB3" w:rsidRDefault="00271DB3">
            <w:pPr>
              <w:jc w:val="center"/>
              <w:rPr>
                <w:sz w:val="22"/>
                <w:szCs w:val="22"/>
              </w:rPr>
            </w:pPr>
            <w:r>
              <w:rPr>
                <w:sz w:val="22"/>
                <w:szCs w:val="22"/>
              </w:rPr>
              <w:t>$416  </w:t>
            </w:r>
          </w:p>
        </w:tc>
      </w:tr>
      <w:tr w:rsidR="00271DB3" w14:paraId="018EFCA1" w14:textId="77777777" w:rsidTr="00602481">
        <w:trPr>
          <w:trHeight w:hRule="exact" w:val="288"/>
        </w:trPr>
        <w:tc>
          <w:tcPr>
            <w:tcW w:w="2561" w:type="dxa"/>
            <w:vMerge w:val="restart"/>
            <w:hideMark/>
          </w:tcPr>
          <w:p w14:paraId="79191030" w14:textId="77777777" w:rsidR="00271DB3" w:rsidRDefault="00271DB3">
            <w:pPr>
              <w:rPr>
                <w:b/>
                <w:bCs/>
                <w:sz w:val="22"/>
                <w:szCs w:val="22"/>
              </w:rPr>
            </w:pPr>
            <w:r>
              <w:rPr>
                <w:b/>
                <w:bCs/>
                <w:sz w:val="22"/>
                <w:szCs w:val="22"/>
              </w:rPr>
              <w:t>Security</w:t>
            </w:r>
            <w:r>
              <w:rPr>
                <w:sz w:val="22"/>
                <w:szCs w:val="22"/>
              </w:rPr>
              <w:t>  </w:t>
            </w:r>
          </w:p>
        </w:tc>
        <w:tc>
          <w:tcPr>
            <w:tcW w:w="3702" w:type="dxa"/>
            <w:vAlign w:val="center"/>
            <w:hideMark/>
          </w:tcPr>
          <w:p w14:paraId="518EEF82" w14:textId="77777777" w:rsidR="00271DB3" w:rsidRDefault="00271DB3">
            <w:pPr>
              <w:rPr>
                <w:sz w:val="22"/>
                <w:szCs w:val="22"/>
              </w:rPr>
            </w:pPr>
            <w:r>
              <w:rPr>
                <w:sz w:val="22"/>
                <w:szCs w:val="22"/>
              </w:rPr>
              <w:t>Body Scanner  </w:t>
            </w:r>
          </w:p>
        </w:tc>
        <w:tc>
          <w:tcPr>
            <w:tcW w:w="1521" w:type="dxa"/>
            <w:vAlign w:val="center"/>
            <w:hideMark/>
          </w:tcPr>
          <w:p w14:paraId="7387219E" w14:textId="77777777" w:rsidR="00271DB3" w:rsidRDefault="00271DB3">
            <w:pPr>
              <w:jc w:val="center"/>
              <w:rPr>
                <w:sz w:val="22"/>
                <w:szCs w:val="22"/>
              </w:rPr>
            </w:pPr>
            <w:r>
              <w:rPr>
                <w:sz w:val="22"/>
                <w:szCs w:val="22"/>
              </w:rPr>
              <w:t>$133  </w:t>
            </w:r>
          </w:p>
        </w:tc>
        <w:tc>
          <w:tcPr>
            <w:tcW w:w="1581" w:type="dxa"/>
            <w:vAlign w:val="center"/>
            <w:hideMark/>
          </w:tcPr>
          <w:p w14:paraId="2221B0F9" w14:textId="77777777" w:rsidR="00271DB3" w:rsidRDefault="00271DB3">
            <w:pPr>
              <w:jc w:val="center"/>
              <w:rPr>
                <w:sz w:val="22"/>
                <w:szCs w:val="22"/>
              </w:rPr>
            </w:pPr>
            <w:r>
              <w:rPr>
                <w:sz w:val="22"/>
                <w:szCs w:val="22"/>
              </w:rPr>
              <w:t>$167  </w:t>
            </w:r>
          </w:p>
        </w:tc>
      </w:tr>
      <w:tr w:rsidR="00271DB3" w14:paraId="7BB4E7AE" w14:textId="77777777" w:rsidTr="00602481">
        <w:trPr>
          <w:trHeight w:hRule="exact" w:val="288"/>
        </w:trPr>
        <w:tc>
          <w:tcPr>
            <w:tcW w:w="2561" w:type="dxa"/>
            <w:vMerge/>
            <w:vAlign w:val="center"/>
            <w:hideMark/>
          </w:tcPr>
          <w:p w14:paraId="657E5A7E" w14:textId="77777777" w:rsidR="00271DB3" w:rsidRDefault="00271DB3">
            <w:pPr>
              <w:rPr>
                <w:b/>
                <w:bCs/>
                <w:sz w:val="22"/>
                <w:szCs w:val="22"/>
              </w:rPr>
            </w:pPr>
          </w:p>
        </w:tc>
        <w:tc>
          <w:tcPr>
            <w:tcW w:w="3702" w:type="dxa"/>
            <w:vAlign w:val="center"/>
            <w:hideMark/>
          </w:tcPr>
          <w:p w14:paraId="3B6281D8" w14:textId="77777777" w:rsidR="00271DB3" w:rsidRDefault="00271DB3">
            <w:pPr>
              <w:rPr>
                <w:sz w:val="22"/>
                <w:szCs w:val="22"/>
              </w:rPr>
            </w:pPr>
            <w:r>
              <w:rPr>
                <w:sz w:val="22"/>
                <w:szCs w:val="22"/>
              </w:rPr>
              <w:t>Baggage Scanner  </w:t>
            </w:r>
          </w:p>
        </w:tc>
        <w:tc>
          <w:tcPr>
            <w:tcW w:w="1521" w:type="dxa"/>
            <w:vAlign w:val="center"/>
            <w:hideMark/>
          </w:tcPr>
          <w:p w14:paraId="4D1C1A41" w14:textId="77777777" w:rsidR="00271DB3" w:rsidRDefault="00271DB3">
            <w:pPr>
              <w:jc w:val="center"/>
              <w:rPr>
                <w:sz w:val="22"/>
                <w:szCs w:val="22"/>
              </w:rPr>
            </w:pPr>
            <w:r>
              <w:rPr>
                <w:sz w:val="22"/>
                <w:szCs w:val="22"/>
              </w:rPr>
              <w:t>$133  </w:t>
            </w:r>
          </w:p>
        </w:tc>
        <w:tc>
          <w:tcPr>
            <w:tcW w:w="1581" w:type="dxa"/>
            <w:vAlign w:val="center"/>
            <w:hideMark/>
          </w:tcPr>
          <w:p w14:paraId="4A2800D6" w14:textId="77777777" w:rsidR="00271DB3" w:rsidRDefault="00271DB3">
            <w:pPr>
              <w:jc w:val="center"/>
              <w:rPr>
                <w:sz w:val="22"/>
                <w:szCs w:val="22"/>
              </w:rPr>
            </w:pPr>
            <w:r>
              <w:rPr>
                <w:sz w:val="22"/>
                <w:szCs w:val="22"/>
              </w:rPr>
              <w:t>$167  </w:t>
            </w:r>
          </w:p>
        </w:tc>
      </w:tr>
      <w:tr w:rsidR="00271DB3" w14:paraId="06F48338" w14:textId="77777777" w:rsidTr="00602481">
        <w:trPr>
          <w:trHeight w:hRule="exact" w:val="288"/>
        </w:trPr>
        <w:tc>
          <w:tcPr>
            <w:tcW w:w="2561" w:type="dxa"/>
            <w:vMerge/>
            <w:vAlign w:val="center"/>
            <w:hideMark/>
          </w:tcPr>
          <w:p w14:paraId="66290B86" w14:textId="77777777" w:rsidR="00271DB3" w:rsidRDefault="00271DB3">
            <w:pPr>
              <w:rPr>
                <w:b/>
                <w:bCs/>
                <w:sz w:val="22"/>
                <w:szCs w:val="22"/>
              </w:rPr>
            </w:pPr>
          </w:p>
        </w:tc>
        <w:tc>
          <w:tcPr>
            <w:tcW w:w="3702" w:type="dxa"/>
            <w:vAlign w:val="center"/>
            <w:hideMark/>
          </w:tcPr>
          <w:p w14:paraId="4FAC03B2" w14:textId="77777777" w:rsidR="00271DB3" w:rsidRDefault="00271DB3">
            <w:pPr>
              <w:rPr>
                <w:sz w:val="22"/>
                <w:szCs w:val="22"/>
              </w:rPr>
            </w:pPr>
            <w:r>
              <w:rPr>
                <w:sz w:val="22"/>
                <w:szCs w:val="22"/>
              </w:rPr>
              <w:t>Bomb Squad  </w:t>
            </w:r>
          </w:p>
        </w:tc>
        <w:tc>
          <w:tcPr>
            <w:tcW w:w="1521" w:type="dxa"/>
            <w:vAlign w:val="center"/>
            <w:hideMark/>
          </w:tcPr>
          <w:p w14:paraId="1516B2B6" w14:textId="77777777" w:rsidR="00271DB3" w:rsidRDefault="00271DB3">
            <w:pPr>
              <w:jc w:val="center"/>
              <w:rPr>
                <w:sz w:val="22"/>
                <w:szCs w:val="22"/>
              </w:rPr>
            </w:pPr>
            <w:r>
              <w:rPr>
                <w:sz w:val="22"/>
                <w:szCs w:val="22"/>
              </w:rPr>
              <w:t>$133  </w:t>
            </w:r>
          </w:p>
        </w:tc>
        <w:tc>
          <w:tcPr>
            <w:tcW w:w="1581" w:type="dxa"/>
            <w:vAlign w:val="center"/>
            <w:hideMark/>
          </w:tcPr>
          <w:p w14:paraId="22D2AAF0" w14:textId="77777777" w:rsidR="00271DB3" w:rsidRDefault="00271DB3">
            <w:pPr>
              <w:jc w:val="center"/>
              <w:rPr>
                <w:sz w:val="22"/>
                <w:szCs w:val="22"/>
              </w:rPr>
            </w:pPr>
            <w:r>
              <w:rPr>
                <w:sz w:val="22"/>
                <w:szCs w:val="22"/>
              </w:rPr>
              <w:t>$167  </w:t>
            </w:r>
          </w:p>
        </w:tc>
      </w:tr>
      <w:tr w:rsidR="00271DB3" w14:paraId="4FC6E502" w14:textId="77777777" w:rsidTr="00602481">
        <w:trPr>
          <w:trHeight w:hRule="exact" w:val="288"/>
        </w:trPr>
        <w:tc>
          <w:tcPr>
            <w:tcW w:w="2561" w:type="dxa"/>
            <w:vMerge/>
            <w:vAlign w:val="center"/>
            <w:hideMark/>
          </w:tcPr>
          <w:p w14:paraId="6D5AC080" w14:textId="77777777" w:rsidR="00271DB3" w:rsidRDefault="00271DB3">
            <w:pPr>
              <w:rPr>
                <w:b/>
                <w:bCs/>
                <w:sz w:val="22"/>
                <w:szCs w:val="22"/>
              </w:rPr>
            </w:pPr>
          </w:p>
        </w:tc>
        <w:tc>
          <w:tcPr>
            <w:tcW w:w="3702" w:type="dxa"/>
            <w:vAlign w:val="center"/>
            <w:hideMark/>
          </w:tcPr>
          <w:p w14:paraId="4D97E171" w14:textId="77777777" w:rsidR="00271DB3" w:rsidRDefault="00271DB3">
            <w:pPr>
              <w:rPr>
                <w:sz w:val="22"/>
                <w:szCs w:val="22"/>
              </w:rPr>
            </w:pPr>
            <w:r>
              <w:rPr>
                <w:sz w:val="22"/>
                <w:szCs w:val="22"/>
              </w:rPr>
              <w:t>Back Scatter  </w:t>
            </w:r>
          </w:p>
        </w:tc>
        <w:tc>
          <w:tcPr>
            <w:tcW w:w="1521" w:type="dxa"/>
            <w:vAlign w:val="center"/>
            <w:hideMark/>
          </w:tcPr>
          <w:p w14:paraId="56B0781A" w14:textId="77777777" w:rsidR="00271DB3" w:rsidRDefault="00271DB3">
            <w:pPr>
              <w:jc w:val="center"/>
              <w:rPr>
                <w:sz w:val="22"/>
                <w:szCs w:val="22"/>
              </w:rPr>
            </w:pPr>
            <w:r>
              <w:rPr>
                <w:sz w:val="22"/>
                <w:szCs w:val="22"/>
              </w:rPr>
              <w:t>$133  </w:t>
            </w:r>
          </w:p>
        </w:tc>
        <w:tc>
          <w:tcPr>
            <w:tcW w:w="1581" w:type="dxa"/>
            <w:vAlign w:val="center"/>
            <w:hideMark/>
          </w:tcPr>
          <w:p w14:paraId="4AFC654C" w14:textId="77777777" w:rsidR="00271DB3" w:rsidRDefault="00271DB3">
            <w:pPr>
              <w:jc w:val="center"/>
              <w:rPr>
                <w:sz w:val="22"/>
                <w:szCs w:val="22"/>
              </w:rPr>
            </w:pPr>
            <w:r>
              <w:rPr>
                <w:sz w:val="22"/>
                <w:szCs w:val="22"/>
              </w:rPr>
              <w:t>$167  </w:t>
            </w:r>
          </w:p>
        </w:tc>
      </w:tr>
      <w:tr w:rsidR="00271DB3" w14:paraId="72783B41" w14:textId="77777777" w:rsidTr="00602481">
        <w:trPr>
          <w:trHeight w:hRule="exact" w:val="288"/>
        </w:trPr>
        <w:tc>
          <w:tcPr>
            <w:tcW w:w="2561" w:type="dxa"/>
            <w:vMerge w:val="restart"/>
            <w:hideMark/>
          </w:tcPr>
          <w:p w14:paraId="1C4C53BF" w14:textId="77777777" w:rsidR="00271DB3" w:rsidRDefault="00271DB3">
            <w:pPr>
              <w:rPr>
                <w:b/>
                <w:bCs/>
                <w:sz w:val="22"/>
                <w:szCs w:val="22"/>
              </w:rPr>
            </w:pPr>
            <w:r>
              <w:rPr>
                <w:b/>
                <w:bCs/>
                <w:sz w:val="22"/>
                <w:szCs w:val="22"/>
              </w:rPr>
              <w:t>Analytical</w:t>
            </w:r>
            <w:r>
              <w:rPr>
                <w:sz w:val="22"/>
                <w:szCs w:val="22"/>
              </w:rPr>
              <w:t>  </w:t>
            </w:r>
          </w:p>
        </w:tc>
        <w:tc>
          <w:tcPr>
            <w:tcW w:w="3702" w:type="dxa"/>
            <w:vAlign w:val="center"/>
            <w:hideMark/>
          </w:tcPr>
          <w:p w14:paraId="37358DF2" w14:textId="77777777" w:rsidR="00271DB3" w:rsidRDefault="00271DB3">
            <w:pPr>
              <w:rPr>
                <w:sz w:val="22"/>
                <w:szCs w:val="22"/>
              </w:rPr>
            </w:pPr>
            <w:r>
              <w:rPr>
                <w:sz w:val="22"/>
                <w:szCs w:val="22"/>
              </w:rPr>
              <w:t>Cabinet XRF  </w:t>
            </w:r>
          </w:p>
        </w:tc>
        <w:tc>
          <w:tcPr>
            <w:tcW w:w="1521" w:type="dxa"/>
            <w:vAlign w:val="center"/>
            <w:hideMark/>
          </w:tcPr>
          <w:p w14:paraId="1C93424D" w14:textId="77777777" w:rsidR="00271DB3" w:rsidRDefault="00271DB3">
            <w:pPr>
              <w:jc w:val="center"/>
              <w:rPr>
                <w:sz w:val="22"/>
                <w:szCs w:val="22"/>
              </w:rPr>
            </w:pPr>
            <w:r>
              <w:rPr>
                <w:sz w:val="22"/>
                <w:szCs w:val="22"/>
              </w:rPr>
              <w:t>$133  </w:t>
            </w:r>
          </w:p>
        </w:tc>
        <w:tc>
          <w:tcPr>
            <w:tcW w:w="1581" w:type="dxa"/>
            <w:vAlign w:val="center"/>
            <w:hideMark/>
          </w:tcPr>
          <w:p w14:paraId="58633F17" w14:textId="77777777" w:rsidR="00271DB3" w:rsidRDefault="00271DB3">
            <w:pPr>
              <w:jc w:val="center"/>
              <w:rPr>
                <w:sz w:val="22"/>
                <w:szCs w:val="22"/>
              </w:rPr>
            </w:pPr>
            <w:r>
              <w:rPr>
                <w:sz w:val="22"/>
                <w:szCs w:val="22"/>
              </w:rPr>
              <w:t>$167  </w:t>
            </w:r>
          </w:p>
        </w:tc>
      </w:tr>
      <w:tr w:rsidR="00271DB3" w14:paraId="6AE6822C" w14:textId="77777777" w:rsidTr="00602481">
        <w:trPr>
          <w:trHeight w:hRule="exact" w:val="288"/>
        </w:trPr>
        <w:tc>
          <w:tcPr>
            <w:tcW w:w="2561" w:type="dxa"/>
            <w:vMerge/>
            <w:vAlign w:val="center"/>
            <w:hideMark/>
          </w:tcPr>
          <w:p w14:paraId="09862E05" w14:textId="77777777" w:rsidR="00271DB3" w:rsidRDefault="00271DB3">
            <w:pPr>
              <w:rPr>
                <w:b/>
                <w:bCs/>
                <w:sz w:val="22"/>
                <w:szCs w:val="22"/>
              </w:rPr>
            </w:pPr>
          </w:p>
        </w:tc>
        <w:tc>
          <w:tcPr>
            <w:tcW w:w="3702" w:type="dxa"/>
            <w:vAlign w:val="center"/>
            <w:hideMark/>
          </w:tcPr>
          <w:p w14:paraId="7BA01D9A" w14:textId="77777777" w:rsidR="00271DB3" w:rsidRDefault="00271DB3">
            <w:pPr>
              <w:rPr>
                <w:sz w:val="22"/>
                <w:szCs w:val="22"/>
              </w:rPr>
            </w:pPr>
            <w:r>
              <w:rPr>
                <w:sz w:val="22"/>
                <w:szCs w:val="22"/>
              </w:rPr>
              <w:t>Handheld XRF  </w:t>
            </w:r>
          </w:p>
        </w:tc>
        <w:tc>
          <w:tcPr>
            <w:tcW w:w="1521" w:type="dxa"/>
            <w:vAlign w:val="center"/>
            <w:hideMark/>
          </w:tcPr>
          <w:p w14:paraId="489C8818" w14:textId="77777777" w:rsidR="00271DB3" w:rsidRDefault="00271DB3">
            <w:pPr>
              <w:jc w:val="center"/>
              <w:rPr>
                <w:sz w:val="22"/>
                <w:szCs w:val="22"/>
              </w:rPr>
            </w:pPr>
            <w:r>
              <w:rPr>
                <w:sz w:val="22"/>
                <w:szCs w:val="22"/>
              </w:rPr>
              <w:t>$133  </w:t>
            </w:r>
          </w:p>
        </w:tc>
        <w:tc>
          <w:tcPr>
            <w:tcW w:w="1581" w:type="dxa"/>
            <w:vAlign w:val="center"/>
            <w:hideMark/>
          </w:tcPr>
          <w:p w14:paraId="381DD0F8" w14:textId="77777777" w:rsidR="00271DB3" w:rsidRDefault="00271DB3">
            <w:pPr>
              <w:jc w:val="center"/>
              <w:rPr>
                <w:sz w:val="22"/>
                <w:szCs w:val="22"/>
              </w:rPr>
            </w:pPr>
            <w:r>
              <w:rPr>
                <w:sz w:val="22"/>
                <w:szCs w:val="22"/>
              </w:rPr>
              <w:t>$167  </w:t>
            </w:r>
          </w:p>
        </w:tc>
      </w:tr>
      <w:tr w:rsidR="00271DB3" w14:paraId="6188CCA4" w14:textId="77777777" w:rsidTr="00602481">
        <w:trPr>
          <w:trHeight w:hRule="exact" w:val="288"/>
        </w:trPr>
        <w:tc>
          <w:tcPr>
            <w:tcW w:w="2561" w:type="dxa"/>
            <w:vMerge/>
            <w:vAlign w:val="center"/>
            <w:hideMark/>
          </w:tcPr>
          <w:p w14:paraId="281CC826" w14:textId="77777777" w:rsidR="00271DB3" w:rsidRDefault="00271DB3">
            <w:pPr>
              <w:rPr>
                <w:b/>
                <w:bCs/>
                <w:sz w:val="22"/>
                <w:szCs w:val="22"/>
              </w:rPr>
            </w:pPr>
          </w:p>
        </w:tc>
        <w:tc>
          <w:tcPr>
            <w:tcW w:w="3702" w:type="dxa"/>
            <w:vAlign w:val="center"/>
            <w:hideMark/>
          </w:tcPr>
          <w:p w14:paraId="73371E83" w14:textId="77777777" w:rsidR="00271DB3" w:rsidRDefault="00271DB3">
            <w:pPr>
              <w:rPr>
                <w:sz w:val="22"/>
                <w:szCs w:val="22"/>
              </w:rPr>
            </w:pPr>
            <w:r>
              <w:rPr>
                <w:sz w:val="22"/>
                <w:szCs w:val="22"/>
              </w:rPr>
              <w:t>X-Ray Diffraction  </w:t>
            </w:r>
          </w:p>
        </w:tc>
        <w:tc>
          <w:tcPr>
            <w:tcW w:w="1521" w:type="dxa"/>
            <w:vAlign w:val="center"/>
            <w:hideMark/>
          </w:tcPr>
          <w:p w14:paraId="249A7716" w14:textId="77777777" w:rsidR="00271DB3" w:rsidRDefault="00271DB3">
            <w:pPr>
              <w:jc w:val="center"/>
              <w:rPr>
                <w:sz w:val="22"/>
                <w:szCs w:val="22"/>
              </w:rPr>
            </w:pPr>
            <w:r>
              <w:rPr>
                <w:sz w:val="22"/>
                <w:szCs w:val="22"/>
              </w:rPr>
              <w:t>$133  </w:t>
            </w:r>
          </w:p>
        </w:tc>
        <w:tc>
          <w:tcPr>
            <w:tcW w:w="1581" w:type="dxa"/>
            <w:vAlign w:val="center"/>
            <w:hideMark/>
          </w:tcPr>
          <w:p w14:paraId="54D74542" w14:textId="77777777" w:rsidR="00271DB3" w:rsidRDefault="00271DB3">
            <w:pPr>
              <w:jc w:val="center"/>
              <w:rPr>
                <w:sz w:val="22"/>
                <w:szCs w:val="22"/>
              </w:rPr>
            </w:pPr>
            <w:r>
              <w:rPr>
                <w:sz w:val="22"/>
                <w:szCs w:val="22"/>
              </w:rPr>
              <w:t>$167  </w:t>
            </w:r>
          </w:p>
        </w:tc>
      </w:tr>
      <w:tr w:rsidR="00271DB3" w14:paraId="105D5436" w14:textId="77777777" w:rsidTr="00602481">
        <w:trPr>
          <w:trHeight w:hRule="exact" w:val="288"/>
        </w:trPr>
        <w:tc>
          <w:tcPr>
            <w:tcW w:w="2561" w:type="dxa"/>
            <w:vAlign w:val="center"/>
            <w:hideMark/>
          </w:tcPr>
          <w:p w14:paraId="581F9D59" w14:textId="77777777" w:rsidR="00271DB3" w:rsidRDefault="00271DB3">
            <w:pPr>
              <w:rPr>
                <w:b/>
                <w:bCs/>
                <w:sz w:val="22"/>
                <w:szCs w:val="22"/>
              </w:rPr>
            </w:pPr>
            <w:r>
              <w:rPr>
                <w:b/>
                <w:bCs/>
                <w:sz w:val="22"/>
                <w:szCs w:val="22"/>
              </w:rPr>
              <w:t>Electron Microscopes</w:t>
            </w:r>
            <w:r>
              <w:rPr>
                <w:sz w:val="22"/>
                <w:szCs w:val="22"/>
              </w:rPr>
              <w:t>  </w:t>
            </w:r>
          </w:p>
        </w:tc>
        <w:tc>
          <w:tcPr>
            <w:tcW w:w="3702" w:type="dxa"/>
            <w:vAlign w:val="center"/>
            <w:hideMark/>
          </w:tcPr>
          <w:p w14:paraId="4FE43D24" w14:textId="77777777" w:rsidR="00271DB3" w:rsidRDefault="00271DB3">
            <w:pPr>
              <w:rPr>
                <w:sz w:val="22"/>
                <w:szCs w:val="22"/>
              </w:rPr>
            </w:pPr>
            <w:r>
              <w:rPr>
                <w:sz w:val="22"/>
                <w:szCs w:val="22"/>
              </w:rPr>
              <w:t>Electron Microscopes  </w:t>
            </w:r>
          </w:p>
        </w:tc>
        <w:tc>
          <w:tcPr>
            <w:tcW w:w="1521" w:type="dxa"/>
            <w:vAlign w:val="center"/>
            <w:hideMark/>
          </w:tcPr>
          <w:p w14:paraId="020A77CE" w14:textId="77777777" w:rsidR="00271DB3" w:rsidRDefault="00271DB3">
            <w:pPr>
              <w:jc w:val="center"/>
              <w:rPr>
                <w:sz w:val="22"/>
                <w:szCs w:val="22"/>
              </w:rPr>
            </w:pPr>
            <w:r>
              <w:rPr>
                <w:sz w:val="22"/>
                <w:szCs w:val="22"/>
              </w:rPr>
              <w:t>$0  </w:t>
            </w:r>
          </w:p>
        </w:tc>
        <w:tc>
          <w:tcPr>
            <w:tcW w:w="1581" w:type="dxa"/>
            <w:vAlign w:val="center"/>
            <w:hideMark/>
          </w:tcPr>
          <w:p w14:paraId="66A2D8A0" w14:textId="77777777" w:rsidR="00271DB3" w:rsidRDefault="00271DB3">
            <w:pPr>
              <w:jc w:val="center"/>
              <w:rPr>
                <w:sz w:val="22"/>
                <w:szCs w:val="22"/>
              </w:rPr>
            </w:pPr>
            <w:r>
              <w:rPr>
                <w:sz w:val="22"/>
                <w:szCs w:val="22"/>
              </w:rPr>
              <w:t>$0  </w:t>
            </w:r>
          </w:p>
        </w:tc>
      </w:tr>
      <w:tr w:rsidR="00271DB3" w:rsidRPr="007A03BC" w14:paraId="76278513" w14:textId="77777777" w:rsidTr="00602481">
        <w:trPr>
          <w:trHeight w:val="300"/>
        </w:trPr>
        <w:tc>
          <w:tcPr>
            <w:tcW w:w="9365" w:type="dxa"/>
            <w:gridSpan w:val="4"/>
            <w:vAlign w:val="center"/>
            <w:hideMark/>
          </w:tcPr>
          <w:p w14:paraId="67745D2D" w14:textId="77777777" w:rsidR="00271DB3" w:rsidRPr="007A03BC" w:rsidRDefault="00271DB3">
            <w:pPr>
              <w:spacing w:after="0" w:line="240" w:lineRule="auto"/>
              <w:jc w:val="center"/>
              <w:rPr>
                <w:b/>
                <w:bCs/>
                <w:color w:val="auto"/>
                <w:kern w:val="0"/>
                <w:sz w:val="22"/>
                <w:szCs w:val="22"/>
                <w14:ligatures w14:val="none"/>
                <w14:cntxtAlts w14:val="0"/>
              </w:rPr>
            </w:pPr>
            <w:r w:rsidRPr="007A03BC">
              <w:rPr>
                <w:b/>
                <w:bCs/>
                <w:color w:val="auto"/>
                <w:kern w:val="0"/>
                <w:sz w:val="22"/>
                <w:szCs w:val="22"/>
                <w14:ligatures w14:val="none"/>
                <w14:cntxtAlts w14:val="0"/>
              </w:rPr>
              <w:t>Other Fees</w:t>
            </w:r>
          </w:p>
        </w:tc>
      </w:tr>
      <w:tr w:rsidR="00271DB3" w:rsidRPr="007A03BC" w14:paraId="01CE5A87" w14:textId="77777777" w:rsidTr="00602481">
        <w:trPr>
          <w:trHeight w:val="288"/>
        </w:trPr>
        <w:tc>
          <w:tcPr>
            <w:tcW w:w="6263" w:type="dxa"/>
            <w:gridSpan w:val="2"/>
            <w:vAlign w:val="center"/>
            <w:hideMark/>
          </w:tcPr>
          <w:p w14:paraId="65292229" w14:textId="77777777" w:rsidR="00271DB3" w:rsidRPr="007A03BC" w:rsidRDefault="00271DB3">
            <w:pPr>
              <w:spacing w:after="0" w:line="240" w:lineRule="auto"/>
              <w:jc w:val="center"/>
              <w:rPr>
                <w:b/>
                <w:bCs/>
                <w:color w:val="auto"/>
                <w:kern w:val="0"/>
                <w:sz w:val="22"/>
                <w:szCs w:val="22"/>
                <w14:ligatures w14:val="none"/>
                <w14:cntxtAlts w14:val="0"/>
              </w:rPr>
            </w:pPr>
            <w:r w:rsidRPr="007A03BC">
              <w:rPr>
                <w:b/>
                <w:bCs/>
                <w:color w:val="auto"/>
                <w:kern w:val="0"/>
                <w:sz w:val="22"/>
                <w:szCs w:val="22"/>
                <w14:ligatures w14:val="none"/>
                <w14:cntxtAlts w14:val="0"/>
              </w:rPr>
              <w:t>Category</w:t>
            </w:r>
            <w:r w:rsidRPr="007A03BC">
              <w:rPr>
                <w:color w:val="auto"/>
                <w:kern w:val="0"/>
                <w:sz w:val="22"/>
                <w:szCs w:val="22"/>
                <w14:ligatures w14:val="none"/>
                <w14:cntxtAlts w14:val="0"/>
              </w:rPr>
              <w:t> </w:t>
            </w:r>
          </w:p>
        </w:tc>
        <w:tc>
          <w:tcPr>
            <w:tcW w:w="1521" w:type="dxa"/>
            <w:vAlign w:val="center"/>
            <w:hideMark/>
          </w:tcPr>
          <w:p w14:paraId="76106D43" w14:textId="64555672" w:rsidR="00271DB3" w:rsidRPr="007A03BC" w:rsidRDefault="007B6D12">
            <w:pPr>
              <w:spacing w:after="0" w:line="240" w:lineRule="auto"/>
              <w:jc w:val="center"/>
              <w:rPr>
                <w:b/>
                <w:bCs/>
                <w:color w:val="auto"/>
                <w:kern w:val="0"/>
                <w:sz w:val="22"/>
                <w:szCs w:val="22"/>
                <w14:ligatures w14:val="none"/>
                <w14:cntxtAlts w14:val="0"/>
              </w:rPr>
            </w:pPr>
            <w:r>
              <w:rPr>
                <w:b/>
                <w:bCs/>
                <w:color w:val="auto"/>
                <w:kern w:val="0"/>
                <w:sz w:val="22"/>
                <w:szCs w:val="22"/>
                <w14:ligatures w14:val="none"/>
                <w14:cntxtAlts w14:val="0"/>
              </w:rPr>
              <w:t>Current</w:t>
            </w:r>
            <w:r w:rsidR="00271DB3" w:rsidRPr="007A03BC">
              <w:rPr>
                <w:b/>
                <w:bCs/>
                <w:color w:val="auto"/>
                <w:kern w:val="0"/>
                <w:sz w:val="22"/>
                <w:szCs w:val="22"/>
                <w14:ligatures w14:val="none"/>
                <w14:cntxtAlts w14:val="0"/>
              </w:rPr>
              <w:t xml:space="preserve"> Fee</w:t>
            </w:r>
          </w:p>
        </w:tc>
        <w:tc>
          <w:tcPr>
            <w:tcW w:w="1581" w:type="dxa"/>
            <w:vAlign w:val="center"/>
            <w:hideMark/>
          </w:tcPr>
          <w:p w14:paraId="6F3C9288" w14:textId="77777777" w:rsidR="00271DB3" w:rsidRPr="007A03BC" w:rsidRDefault="00271DB3">
            <w:pPr>
              <w:spacing w:after="0" w:line="240" w:lineRule="auto"/>
              <w:jc w:val="center"/>
              <w:rPr>
                <w:b/>
                <w:bCs/>
                <w:color w:val="auto"/>
                <w:kern w:val="0"/>
                <w:sz w:val="22"/>
                <w:szCs w:val="22"/>
                <w14:ligatures w14:val="none"/>
                <w14:cntxtAlts w14:val="0"/>
              </w:rPr>
            </w:pPr>
            <w:r w:rsidRPr="007A03BC">
              <w:rPr>
                <w:b/>
                <w:bCs/>
                <w:color w:val="auto"/>
                <w:kern w:val="0"/>
                <w:sz w:val="22"/>
                <w:szCs w:val="22"/>
                <w14:ligatures w14:val="none"/>
                <w14:cntxtAlts w14:val="0"/>
              </w:rPr>
              <w:t>Proposed Fee</w:t>
            </w:r>
            <w:r w:rsidRPr="007A03BC">
              <w:rPr>
                <w:color w:val="auto"/>
                <w:kern w:val="0"/>
                <w:sz w:val="22"/>
                <w:szCs w:val="22"/>
                <w14:ligatures w14:val="none"/>
                <w14:cntxtAlts w14:val="0"/>
              </w:rPr>
              <w:t>  </w:t>
            </w:r>
          </w:p>
        </w:tc>
      </w:tr>
      <w:tr w:rsidR="00271DB3" w:rsidRPr="007A03BC" w14:paraId="2824E56D" w14:textId="77777777" w:rsidTr="00602481">
        <w:trPr>
          <w:trHeight w:val="288"/>
        </w:trPr>
        <w:tc>
          <w:tcPr>
            <w:tcW w:w="6263" w:type="dxa"/>
            <w:gridSpan w:val="2"/>
            <w:noWrap/>
            <w:vAlign w:val="bottom"/>
            <w:hideMark/>
          </w:tcPr>
          <w:p w14:paraId="6473AEE7" w14:textId="77777777" w:rsidR="00271DB3" w:rsidRPr="007A03BC" w:rsidRDefault="46E1E157">
            <w:pPr>
              <w:spacing w:after="0" w:line="240" w:lineRule="auto"/>
              <w:jc w:val="center"/>
              <w:rPr>
                <w:color w:val="auto"/>
                <w:kern w:val="0"/>
                <w:sz w:val="22"/>
                <w:szCs w:val="22"/>
                <w14:ligatures w14:val="none"/>
                <w14:cntxtAlts w14:val="0"/>
              </w:rPr>
            </w:pPr>
            <w:r w:rsidRPr="007A03BC">
              <w:rPr>
                <w:color w:val="auto"/>
                <w:kern w:val="0"/>
                <w:sz w:val="22"/>
                <w:szCs w:val="22"/>
                <w14:ligatures w14:val="none"/>
                <w14:cntxtAlts w14:val="0"/>
              </w:rPr>
              <w:t>Shielding Plan Review</w:t>
            </w:r>
          </w:p>
        </w:tc>
        <w:tc>
          <w:tcPr>
            <w:tcW w:w="1521" w:type="dxa"/>
            <w:noWrap/>
            <w:vAlign w:val="bottom"/>
            <w:hideMark/>
          </w:tcPr>
          <w:p w14:paraId="4509C729" w14:textId="77777777" w:rsidR="00271DB3" w:rsidRPr="007A03BC" w:rsidRDefault="46E1E157">
            <w:pPr>
              <w:spacing w:after="0" w:line="240" w:lineRule="auto"/>
              <w:jc w:val="center"/>
              <w:rPr>
                <w:color w:val="auto"/>
                <w:kern w:val="0"/>
                <w:sz w:val="22"/>
                <w:szCs w:val="22"/>
                <w14:ligatures w14:val="none"/>
                <w14:cntxtAlts w14:val="0"/>
              </w:rPr>
            </w:pPr>
            <w:r w:rsidRPr="007A03BC">
              <w:rPr>
                <w:color w:val="auto"/>
                <w:kern w:val="0"/>
                <w:sz w:val="22"/>
                <w:szCs w:val="22"/>
                <w14:ligatures w14:val="none"/>
                <w14:cntxtAlts w14:val="0"/>
              </w:rPr>
              <w:t xml:space="preserve"> $ 778 </w:t>
            </w:r>
          </w:p>
        </w:tc>
        <w:tc>
          <w:tcPr>
            <w:tcW w:w="1581" w:type="dxa"/>
            <w:noWrap/>
            <w:vAlign w:val="bottom"/>
            <w:hideMark/>
          </w:tcPr>
          <w:p w14:paraId="232A4850" w14:textId="77777777" w:rsidR="00271DB3" w:rsidRPr="007A03BC" w:rsidRDefault="00271DB3">
            <w:pPr>
              <w:spacing w:after="0" w:line="240" w:lineRule="auto"/>
              <w:jc w:val="center"/>
              <w:rPr>
                <w:color w:val="auto"/>
                <w:kern w:val="0"/>
                <w:sz w:val="22"/>
                <w:szCs w:val="22"/>
                <w14:ligatures w14:val="none"/>
                <w14:cntxtAlts w14:val="0"/>
              </w:rPr>
            </w:pPr>
            <w:r w:rsidRPr="007A03BC">
              <w:rPr>
                <w:color w:val="auto"/>
                <w:kern w:val="0"/>
                <w:sz w:val="22"/>
                <w:szCs w:val="22"/>
                <w14:ligatures w14:val="none"/>
                <w14:cntxtAlts w14:val="0"/>
              </w:rPr>
              <w:t xml:space="preserve"> $</w:t>
            </w:r>
            <w:r>
              <w:rPr>
                <w:color w:val="auto"/>
                <w:kern w:val="0"/>
                <w:sz w:val="22"/>
                <w:szCs w:val="22"/>
                <w14:ligatures w14:val="none"/>
                <w14:cntxtAlts w14:val="0"/>
              </w:rPr>
              <w:t>977</w:t>
            </w:r>
          </w:p>
        </w:tc>
      </w:tr>
      <w:tr w:rsidR="00271DB3" w:rsidRPr="007A03BC" w14:paraId="73D950D4" w14:textId="77777777" w:rsidTr="00602481">
        <w:trPr>
          <w:trHeight w:val="288"/>
        </w:trPr>
        <w:tc>
          <w:tcPr>
            <w:tcW w:w="6263" w:type="dxa"/>
            <w:gridSpan w:val="2"/>
            <w:noWrap/>
            <w:vAlign w:val="bottom"/>
            <w:hideMark/>
          </w:tcPr>
          <w:p w14:paraId="2A826190" w14:textId="77777777" w:rsidR="00271DB3" w:rsidRPr="007A03BC" w:rsidRDefault="00271DB3">
            <w:pPr>
              <w:spacing w:after="0" w:line="240" w:lineRule="auto"/>
              <w:jc w:val="center"/>
              <w:rPr>
                <w:color w:val="auto"/>
                <w:kern w:val="0"/>
                <w:sz w:val="22"/>
                <w:szCs w:val="22"/>
                <w14:ligatures w14:val="none"/>
                <w14:cntxtAlts w14:val="0"/>
              </w:rPr>
            </w:pPr>
            <w:r w:rsidRPr="007A03BC">
              <w:rPr>
                <w:color w:val="auto"/>
                <w:kern w:val="0"/>
                <w:sz w:val="22"/>
                <w:szCs w:val="22"/>
                <w14:ligatures w14:val="none"/>
                <w14:cntxtAlts w14:val="0"/>
              </w:rPr>
              <w:t>Follow Up Plan Review</w:t>
            </w:r>
          </w:p>
        </w:tc>
        <w:tc>
          <w:tcPr>
            <w:tcW w:w="1521" w:type="dxa"/>
            <w:noWrap/>
            <w:vAlign w:val="bottom"/>
            <w:hideMark/>
          </w:tcPr>
          <w:p w14:paraId="66E5986B" w14:textId="77777777" w:rsidR="00271DB3" w:rsidRPr="007A03BC" w:rsidRDefault="46E1E157">
            <w:pPr>
              <w:spacing w:after="0" w:line="240" w:lineRule="auto"/>
              <w:jc w:val="center"/>
              <w:rPr>
                <w:color w:val="auto"/>
                <w:kern w:val="0"/>
                <w:sz w:val="22"/>
                <w:szCs w:val="22"/>
                <w14:ligatures w14:val="none"/>
                <w14:cntxtAlts w14:val="0"/>
              </w:rPr>
            </w:pPr>
            <w:r w:rsidRPr="007A03BC">
              <w:rPr>
                <w:color w:val="auto"/>
                <w:kern w:val="0"/>
                <w:sz w:val="22"/>
                <w:szCs w:val="22"/>
                <w14:ligatures w14:val="none"/>
                <w14:cntxtAlts w14:val="0"/>
              </w:rPr>
              <w:t xml:space="preserve"> $ 1,561</w:t>
            </w:r>
          </w:p>
        </w:tc>
        <w:tc>
          <w:tcPr>
            <w:tcW w:w="1581" w:type="dxa"/>
            <w:noWrap/>
            <w:vAlign w:val="bottom"/>
            <w:hideMark/>
          </w:tcPr>
          <w:p w14:paraId="1115292D" w14:textId="77777777" w:rsidR="00271DB3" w:rsidRPr="007A03BC" w:rsidRDefault="00271DB3">
            <w:pPr>
              <w:spacing w:after="0" w:line="240" w:lineRule="auto"/>
              <w:jc w:val="center"/>
              <w:rPr>
                <w:color w:val="auto"/>
                <w:kern w:val="0"/>
                <w:sz w:val="22"/>
                <w:szCs w:val="22"/>
                <w14:ligatures w14:val="none"/>
                <w14:cntxtAlts w14:val="0"/>
              </w:rPr>
            </w:pPr>
            <w:r w:rsidRPr="007A03BC">
              <w:rPr>
                <w:color w:val="auto"/>
                <w:kern w:val="0"/>
                <w:sz w:val="22"/>
                <w:szCs w:val="22"/>
                <w14:ligatures w14:val="none"/>
                <w14:cntxtAlts w14:val="0"/>
              </w:rPr>
              <w:t xml:space="preserve"> $1,</w:t>
            </w:r>
            <w:r>
              <w:rPr>
                <w:color w:val="auto"/>
                <w:kern w:val="0"/>
                <w:sz w:val="22"/>
                <w:szCs w:val="22"/>
                <w14:ligatures w14:val="none"/>
                <w14:cntxtAlts w14:val="0"/>
              </w:rPr>
              <w:t>960</w:t>
            </w:r>
          </w:p>
        </w:tc>
      </w:tr>
      <w:tr w:rsidR="00271DB3" w:rsidRPr="007A03BC" w14:paraId="7CDF7C17" w14:textId="77777777" w:rsidTr="00602481">
        <w:trPr>
          <w:trHeight w:val="288"/>
        </w:trPr>
        <w:tc>
          <w:tcPr>
            <w:tcW w:w="6263" w:type="dxa"/>
            <w:gridSpan w:val="2"/>
            <w:noWrap/>
            <w:vAlign w:val="bottom"/>
            <w:hideMark/>
          </w:tcPr>
          <w:p w14:paraId="72FEB8AB" w14:textId="77777777" w:rsidR="00271DB3" w:rsidRPr="007A03BC" w:rsidRDefault="46E1E157">
            <w:pPr>
              <w:spacing w:after="0" w:line="240" w:lineRule="auto"/>
              <w:jc w:val="center"/>
              <w:rPr>
                <w:color w:val="auto"/>
                <w:kern w:val="0"/>
                <w:sz w:val="22"/>
                <w:szCs w:val="22"/>
                <w14:ligatures w14:val="none"/>
                <w14:cntxtAlts w14:val="0"/>
              </w:rPr>
            </w:pPr>
            <w:r w:rsidRPr="007A03BC">
              <w:rPr>
                <w:color w:val="auto"/>
                <w:kern w:val="0"/>
                <w:sz w:val="22"/>
                <w:szCs w:val="22"/>
                <w14:ligatures w14:val="none"/>
                <w14:cntxtAlts w14:val="0"/>
              </w:rPr>
              <w:t>Expedited Plan Review</w:t>
            </w:r>
          </w:p>
        </w:tc>
        <w:tc>
          <w:tcPr>
            <w:tcW w:w="1521" w:type="dxa"/>
            <w:noWrap/>
            <w:vAlign w:val="bottom"/>
            <w:hideMark/>
          </w:tcPr>
          <w:p w14:paraId="30FF6871" w14:textId="77777777" w:rsidR="00271DB3" w:rsidRPr="007A03BC" w:rsidRDefault="46E1E157">
            <w:pPr>
              <w:spacing w:after="0" w:line="240" w:lineRule="auto"/>
              <w:jc w:val="center"/>
              <w:rPr>
                <w:color w:val="auto"/>
                <w:kern w:val="0"/>
                <w:sz w:val="22"/>
                <w:szCs w:val="22"/>
                <w14:ligatures w14:val="none"/>
                <w14:cntxtAlts w14:val="0"/>
              </w:rPr>
            </w:pPr>
            <w:r w:rsidRPr="007A03BC">
              <w:rPr>
                <w:color w:val="auto"/>
                <w:kern w:val="0"/>
                <w:sz w:val="22"/>
                <w:szCs w:val="22"/>
                <w14:ligatures w14:val="none"/>
                <w14:cntxtAlts w14:val="0"/>
              </w:rPr>
              <w:t xml:space="preserve"> $ 2,339 </w:t>
            </w:r>
          </w:p>
        </w:tc>
        <w:tc>
          <w:tcPr>
            <w:tcW w:w="1581" w:type="dxa"/>
            <w:noWrap/>
            <w:vAlign w:val="bottom"/>
            <w:hideMark/>
          </w:tcPr>
          <w:p w14:paraId="51567551" w14:textId="77777777" w:rsidR="00271DB3" w:rsidRPr="007A03BC" w:rsidRDefault="00271DB3">
            <w:pPr>
              <w:spacing w:after="0" w:line="240" w:lineRule="auto"/>
              <w:jc w:val="center"/>
              <w:rPr>
                <w:color w:val="auto"/>
                <w:kern w:val="0"/>
                <w:sz w:val="22"/>
                <w:szCs w:val="22"/>
                <w14:ligatures w14:val="none"/>
                <w14:cntxtAlts w14:val="0"/>
              </w:rPr>
            </w:pPr>
            <w:r w:rsidRPr="007A03BC">
              <w:rPr>
                <w:color w:val="auto"/>
                <w:kern w:val="0"/>
                <w:sz w:val="22"/>
                <w:szCs w:val="22"/>
                <w14:ligatures w14:val="none"/>
                <w14:cntxtAlts w14:val="0"/>
              </w:rPr>
              <w:t xml:space="preserve"> $2,</w:t>
            </w:r>
            <w:r>
              <w:rPr>
                <w:color w:val="auto"/>
                <w:kern w:val="0"/>
                <w:sz w:val="22"/>
                <w:szCs w:val="22"/>
                <w14:ligatures w14:val="none"/>
                <w14:cntxtAlts w14:val="0"/>
              </w:rPr>
              <w:t>936</w:t>
            </w:r>
            <w:r w:rsidRPr="007A03BC">
              <w:rPr>
                <w:color w:val="auto"/>
                <w:kern w:val="0"/>
                <w:sz w:val="22"/>
                <w:szCs w:val="22"/>
                <w14:ligatures w14:val="none"/>
                <w14:cntxtAlts w14:val="0"/>
              </w:rPr>
              <w:t xml:space="preserve"> </w:t>
            </w:r>
          </w:p>
        </w:tc>
      </w:tr>
      <w:tr w:rsidR="00271DB3" w:rsidRPr="007A03BC" w14:paraId="7725C466" w14:textId="77777777" w:rsidTr="00602481">
        <w:trPr>
          <w:trHeight w:val="300"/>
        </w:trPr>
        <w:tc>
          <w:tcPr>
            <w:tcW w:w="6263" w:type="dxa"/>
            <w:gridSpan w:val="2"/>
            <w:noWrap/>
            <w:vAlign w:val="bottom"/>
            <w:hideMark/>
          </w:tcPr>
          <w:p w14:paraId="24A86C21" w14:textId="77777777" w:rsidR="00271DB3" w:rsidRPr="007A03BC" w:rsidRDefault="46E1E157">
            <w:pPr>
              <w:spacing w:after="0" w:line="240" w:lineRule="auto"/>
              <w:jc w:val="center"/>
              <w:rPr>
                <w:color w:val="auto"/>
                <w:kern w:val="0"/>
                <w:sz w:val="22"/>
                <w:szCs w:val="22"/>
                <w14:ligatures w14:val="none"/>
                <w14:cntxtAlts w14:val="0"/>
              </w:rPr>
            </w:pPr>
            <w:r w:rsidRPr="007A03BC">
              <w:rPr>
                <w:color w:val="auto"/>
                <w:kern w:val="0"/>
                <w:sz w:val="22"/>
                <w:szCs w:val="22"/>
                <w14:ligatures w14:val="none"/>
                <w14:cntxtAlts w14:val="0"/>
              </w:rPr>
              <w:t>Non-Compliance Inspection</w:t>
            </w:r>
          </w:p>
        </w:tc>
        <w:tc>
          <w:tcPr>
            <w:tcW w:w="1521" w:type="dxa"/>
            <w:noWrap/>
            <w:vAlign w:val="bottom"/>
            <w:hideMark/>
          </w:tcPr>
          <w:p w14:paraId="6C48E582" w14:textId="77777777" w:rsidR="00271DB3" w:rsidRPr="007A03BC" w:rsidRDefault="46E1E157">
            <w:pPr>
              <w:spacing w:after="0" w:line="240" w:lineRule="auto"/>
              <w:jc w:val="center"/>
              <w:rPr>
                <w:color w:val="auto"/>
                <w:kern w:val="0"/>
                <w:sz w:val="22"/>
                <w:szCs w:val="22"/>
                <w14:ligatures w14:val="none"/>
                <w14:cntxtAlts w14:val="0"/>
              </w:rPr>
            </w:pPr>
            <w:r w:rsidRPr="007A03BC">
              <w:rPr>
                <w:color w:val="auto"/>
                <w:kern w:val="0"/>
                <w:sz w:val="22"/>
                <w:szCs w:val="22"/>
                <w14:ligatures w14:val="none"/>
                <w14:cntxtAlts w14:val="0"/>
              </w:rPr>
              <w:t xml:space="preserve"> $ 1,281 </w:t>
            </w:r>
          </w:p>
        </w:tc>
        <w:tc>
          <w:tcPr>
            <w:tcW w:w="1581" w:type="dxa"/>
            <w:noWrap/>
            <w:vAlign w:val="bottom"/>
            <w:hideMark/>
          </w:tcPr>
          <w:p w14:paraId="43999CEB" w14:textId="77777777" w:rsidR="00271DB3" w:rsidRPr="007A03BC" w:rsidRDefault="00271DB3">
            <w:pPr>
              <w:spacing w:after="0" w:line="240" w:lineRule="auto"/>
              <w:jc w:val="center"/>
              <w:rPr>
                <w:color w:val="auto"/>
                <w:kern w:val="0"/>
                <w:sz w:val="22"/>
                <w:szCs w:val="22"/>
                <w14:ligatures w14:val="none"/>
                <w14:cntxtAlts w14:val="0"/>
              </w:rPr>
            </w:pPr>
            <w:r w:rsidRPr="007A03BC">
              <w:rPr>
                <w:color w:val="auto"/>
                <w:kern w:val="0"/>
                <w:sz w:val="22"/>
                <w:szCs w:val="22"/>
                <w14:ligatures w14:val="none"/>
                <w14:cntxtAlts w14:val="0"/>
              </w:rPr>
              <w:t xml:space="preserve"> $1,</w:t>
            </w:r>
            <w:r>
              <w:rPr>
                <w:color w:val="auto"/>
                <w:kern w:val="0"/>
                <w:sz w:val="22"/>
                <w:szCs w:val="22"/>
                <w14:ligatures w14:val="none"/>
                <w14:cntxtAlts w14:val="0"/>
              </w:rPr>
              <w:t>608</w:t>
            </w:r>
            <w:r w:rsidRPr="007A03BC">
              <w:rPr>
                <w:color w:val="auto"/>
                <w:kern w:val="0"/>
                <w:sz w:val="22"/>
                <w:szCs w:val="22"/>
                <w14:ligatures w14:val="none"/>
                <w14:cntxtAlts w14:val="0"/>
              </w:rPr>
              <w:t xml:space="preserve"> </w:t>
            </w:r>
          </w:p>
        </w:tc>
      </w:tr>
    </w:tbl>
    <w:p w14:paraId="71F424CA" w14:textId="2C8E2DCA" w:rsidR="009B5A62" w:rsidRDefault="009B5A62" w:rsidP="2FC1AB7B">
      <w:pPr>
        <w:pStyle w:val="NoSpacing"/>
      </w:pPr>
    </w:p>
    <w:p w14:paraId="52D8AFED" w14:textId="77777777" w:rsidR="00271DB3" w:rsidRPr="00EB3809" w:rsidRDefault="00271DB3" w:rsidP="2FC1AB7B">
      <w:pPr>
        <w:pStyle w:val="NoSpacing"/>
        <w:rPr>
          <w:sz w:val="14"/>
          <w:szCs w:val="14"/>
        </w:rPr>
      </w:pPr>
    </w:p>
    <w:p w14:paraId="7C1EB2EA" w14:textId="61969041" w:rsidR="005C6520" w:rsidRDefault="00271DB3" w:rsidP="00271DB3">
      <w:pPr>
        <w:mirrorIndents/>
        <w:rPr>
          <w:sz w:val="22"/>
          <w:szCs w:val="22"/>
        </w:rPr>
      </w:pPr>
      <w:r w:rsidRPr="008F0A22">
        <w:rPr>
          <w:sz w:val="22"/>
          <w:szCs w:val="22"/>
        </w:rPr>
        <w:t xml:space="preserve">This proposal allows the </w:t>
      </w:r>
      <w:r w:rsidR="66CA7973" w:rsidRPr="2FC1AB7B">
        <w:rPr>
          <w:sz w:val="22"/>
          <w:szCs w:val="22"/>
        </w:rPr>
        <w:t>D</w:t>
      </w:r>
      <w:r w:rsidR="70557EEC" w:rsidRPr="2FC1AB7B">
        <w:rPr>
          <w:sz w:val="22"/>
          <w:szCs w:val="22"/>
        </w:rPr>
        <w:t>epartment</w:t>
      </w:r>
      <w:r w:rsidRPr="008F0A22">
        <w:rPr>
          <w:sz w:val="22"/>
          <w:szCs w:val="22"/>
        </w:rPr>
        <w:t xml:space="preserve"> to </w:t>
      </w:r>
      <w:r w:rsidR="007B6D12">
        <w:rPr>
          <w:sz w:val="22"/>
          <w:szCs w:val="22"/>
        </w:rPr>
        <w:t xml:space="preserve">cover the </w:t>
      </w:r>
      <w:r w:rsidR="00D839BE">
        <w:rPr>
          <w:sz w:val="22"/>
          <w:szCs w:val="22"/>
        </w:rPr>
        <w:t xml:space="preserve">expenditure increase due to the </w:t>
      </w:r>
      <w:r w:rsidR="00D839BE" w:rsidRPr="00444F35">
        <w:rPr>
          <w:sz w:val="22"/>
          <w:szCs w:val="22"/>
        </w:rPr>
        <w:t>cost-of-living adjustments made in the 2025-2027 state budget (ESSB 5167)</w:t>
      </w:r>
      <w:r w:rsidRPr="008F0A22">
        <w:rPr>
          <w:sz w:val="22"/>
          <w:szCs w:val="22"/>
        </w:rPr>
        <w:t xml:space="preserve">. </w:t>
      </w:r>
    </w:p>
    <w:p w14:paraId="6CD15015" w14:textId="05D6D97C" w:rsidR="008E5CB0" w:rsidRDefault="008E5CB0" w:rsidP="00271DB3">
      <w:pPr>
        <w:mirrorIndents/>
        <w:rPr>
          <w:sz w:val="22"/>
          <w:szCs w:val="22"/>
        </w:rPr>
      </w:pPr>
      <w:r>
        <w:rPr>
          <w:sz w:val="22"/>
          <w:szCs w:val="22"/>
        </w:rPr>
        <w:t xml:space="preserve">The chart below </w:t>
      </w:r>
      <w:r w:rsidR="00B3197C">
        <w:rPr>
          <w:sz w:val="22"/>
          <w:szCs w:val="22"/>
        </w:rPr>
        <w:t>shows actual and projected revenue and expenditures for current and proposed fees from FY 2019 through FY 2031</w:t>
      </w:r>
      <w:r>
        <w:rPr>
          <w:sz w:val="22"/>
          <w:szCs w:val="22"/>
        </w:rPr>
        <w:t>.</w:t>
      </w:r>
      <w:r w:rsidRPr="00045A64">
        <w:rPr>
          <w:sz w:val="22"/>
          <w:szCs w:val="22"/>
        </w:rPr>
        <w:t xml:space="preserve"> </w:t>
      </w:r>
      <w:r w:rsidR="00303315" w:rsidRPr="00303315">
        <w:rPr>
          <w:noProof/>
          <w:sz w:val="22"/>
          <w:szCs w:val="22"/>
        </w:rPr>
        <w:drawing>
          <wp:inline distT="0" distB="0" distL="0" distR="0" wp14:anchorId="1E622744" wp14:editId="7A8C5E68">
            <wp:extent cx="5943600" cy="1976755"/>
            <wp:effectExtent l="0" t="0" r="0" b="4445"/>
            <wp:docPr id="108218029" name="Picture 1" descr="Chart, bar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18029" name="Picture 1" descr="Chart, bar chart&#10;&#10;AI-generated content may be incorrect."/>
                    <pic:cNvPicPr/>
                  </pic:nvPicPr>
                  <pic:blipFill>
                    <a:blip r:embed="rId38"/>
                    <a:stretch>
                      <a:fillRect/>
                    </a:stretch>
                  </pic:blipFill>
                  <pic:spPr>
                    <a:xfrm>
                      <a:off x="0" y="0"/>
                      <a:ext cx="5943600" cy="1976755"/>
                    </a:xfrm>
                    <a:prstGeom prst="rect">
                      <a:avLst/>
                    </a:prstGeom>
                  </pic:spPr>
                </pic:pic>
              </a:graphicData>
            </a:graphic>
          </wp:inline>
        </w:drawing>
      </w:r>
    </w:p>
    <w:p w14:paraId="34FA219A" w14:textId="6CB93212" w:rsidR="008E5CB0" w:rsidRPr="008C181A" w:rsidRDefault="008E5CB0" w:rsidP="008E5CB0">
      <w:pPr>
        <w:mirrorIndents/>
        <w:rPr>
          <w:vanish/>
          <w:sz w:val="22"/>
          <w:szCs w:val="22"/>
          <w:specVanish/>
        </w:rPr>
      </w:pPr>
    </w:p>
    <w:p w14:paraId="778ED9BF" w14:textId="33F5C8D2" w:rsidR="00C94766" w:rsidRDefault="005C6520" w:rsidP="00D94904">
      <w:pPr>
        <w:mirrorIndents/>
        <w:rPr>
          <w:sz w:val="22"/>
          <w:szCs w:val="22"/>
        </w:rPr>
      </w:pPr>
      <w:r w:rsidRPr="173D2733">
        <w:rPr>
          <w:sz w:val="22"/>
          <w:szCs w:val="22"/>
        </w:rPr>
        <w:t xml:space="preserve">The </w:t>
      </w:r>
      <w:r w:rsidR="2EB41152" w:rsidRPr="2FC1AB7B">
        <w:rPr>
          <w:sz w:val="22"/>
          <w:szCs w:val="22"/>
        </w:rPr>
        <w:t>D</w:t>
      </w:r>
      <w:r w:rsidR="7F43F26A" w:rsidRPr="2FC1AB7B">
        <w:rPr>
          <w:sz w:val="22"/>
          <w:szCs w:val="22"/>
        </w:rPr>
        <w:t>epartment</w:t>
      </w:r>
      <w:r w:rsidRPr="173D2733">
        <w:rPr>
          <w:sz w:val="22"/>
          <w:szCs w:val="22"/>
        </w:rPr>
        <w:t xml:space="preserve"> will continue to monitor the financial health of the X-ray </w:t>
      </w:r>
      <w:r w:rsidR="32814827" w:rsidRPr="2FC1AB7B">
        <w:rPr>
          <w:sz w:val="22"/>
          <w:szCs w:val="22"/>
        </w:rPr>
        <w:t xml:space="preserve">Machine Facility </w:t>
      </w:r>
      <w:r w:rsidRPr="173D2733">
        <w:rPr>
          <w:sz w:val="22"/>
          <w:szCs w:val="22"/>
        </w:rPr>
        <w:t>program over a 6-year outlook and propose fee adjustments as needed to comply with statutory requirements.</w:t>
      </w:r>
    </w:p>
    <w:sectPr w:rsidR="00C94766">
      <w:headerReference w:type="default" r:id="rId39"/>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91E22" w14:textId="77777777" w:rsidR="007E3332" w:rsidRDefault="007E3332" w:rsidP="0067053B">
      <w:pPr>
        <w:spacing w:after="0" w:line="240" w:lineRule="auto"/>
      </w:pPr>
      <w:r>
        <w:separator/>
      </w:r>
    </w:p>
  </w:endnote>
  <w:endnote w:type="continuationSeparator" w:id="0">
    <w:p w14:paraId="5F2E59DB" w14:textId="77777777" w:rsidR="007E3332" w:rsidRDefault="007E3332" w:rsidP="0067053B">
      <w:pPr>
        <w:spacing w:after="0" w:line="240" w:lineRule="auto"/>
      </w:pPr>
      <w:r>
        <w:continuationSeparator/>
      </w:r>
    </w:p>
  </w:endnote>
  <w:endnote w:type="continuationNotice" w:id="1">
    <w:p w14:paraId="20EB2427" w14:textId="77777777" w:rsidR="007E3332" w:rsidRDefault="007E33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1981863"/>
      <w:docPartObj>
        <w:docPartGallery w:val="Page Numbers (Bottom of Page)"/>
        <w:docPartUnique/>
      </w:docPartObj>
    </w:sdtPr>
    <w:sdtEndPr>
      <w:rPr>
        <w:noProof/>
      </w:rPr>
    </w:sdtEndPr>
    <w:sdtContent>
      <w:p w14:paraId="421AD3AC" w14:textId="5403207B" w:rsidR="007A480A" w:rsidRDefault="007A48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AA73DB" w14:textId="77777777" w:rsidR="00A20B08" w:rsidRDefault="00A20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BF5C7" w14:textId="77777777" w:rsidR="007E3332" w:rsidRDefault="007E3332" w:rsidP="0067053B">
      <w:pPr>
        <w:spacing w:after="0" w:line="240" w:lineRule="auto"/>
      </w:pPr>
      <w:r>
        <w:separator/>
      </w:r>
    </w:p>
  </w:footnote>
  <w:footnote w:type="continuationSeparator" w:id="0">
    <w:p w14:paraId="6168257B" w14:textId="77777777" w:rsidR="007E3332" w:rsidRDefault="007E3332" w:rsidP="0067053B">
      <w:pPr>
        <w:spacing w:after="0" w:line="240" w:lineRule="auto"/>
      </w:pPr>
      <w:r>
        <w:continuationSeparator/>
      </w:r>
    </w:p>
  </w:footnote>
  <w:footnote w:type="continuationNotice" w:id="1">
    <w:p w14:paraId="136F396A" w14:textId="77777777" w:rsidR="007E3332" w:rsidRDefault="007E33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4955760"/>
      <w:docPartObj>
        <w:docPartGallery w:val="Watermarks"/>
        <w:docPartUnique/>
      </w:docPartObj>
    </w:sdtPr>
    <w:sdtEndPr/>
    <w:sdtContent>
      <w:p w14:paraId="08CA3102" w14:textId="15B54F79" w:rsidR="008E4C38" w:rsidRDefault="002618F5">
        <w:pPr>
          <w:pStyle w:val="Header"/>
        </w:pPr>
        <w:r>
          <w:rPr>
            <w:noProof/>
          </w:rPr>
          <w:pict w14:anchorId="33B28F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4373D"/>
    <w:multiLevelType w:val="hybridMultilevel"/>
    <w:tmpl w:val="4F7E2084"/>
    <w:lvl w:ilvl="0" w:tplc="3FAAD71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7C7185"/>
    <w:multiLevelType w:val="hybridMultilevel"/>
    <w:tmpl w:val="DA08E1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815BB3"/>
    <w:multiLevelType w:val="hybridMultilevel"/>
    <w:tmpl w:val="023CF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B01821"/>
    <w:multiLevelType w:val="hybridMultilevel"/>
    <w:tmpl w:val="3E688252"/>
    <w:lvl w:ilvl="0" w:tplc="209A14AA">
      <w:start w:val="1"/>
      <w:numFmt w:val="decimal"/>
      <w:lvlText w:val="%1."/>
      <w:lvlJc w:val="left"/>
      <w:pPr>
        <w:ind w:left="720" w:hanging="360"/>
      </w:pPr>
      <w:rPr>
        <w:rFonts w:ascii="Calibri" w:hAnsi="Calibri" w:cs="Calibri" w:hint="default"/>
        <w:b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A547121"/>
    <w:multiLevelType w:val="hybridMultilevel"/>
    <w:tmpl w:val="A03CC9C0"/>
    <w:lvl w:ilvl="0" w:tplc="7276A418">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E3E0C0C"/>
    <w:multiLevelType w:val="hybridMultilevel"/>
    <w:tmpl w:val="9706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391070">
    <w:abstractNumId w:val="4"/>
  </w:num>
  <w:num w:numId="2" w16cid:durableId="684132595">
    <w:abstractNumId w:val="2"/>
  </w:num>
  <w:num w:numId="3" w16cid:durableId="203567163">
    <w:abstractNumId w:val="1"/>
  </w:num>
  <w:num w:numId="4" w16cid:durableId="6812778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4956155">
    <w:abstractNumId w:val="5"/>
  </w:num>
  <w:num w:numId="6" w16cid:durableId="523247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303"/>
    <w:rsid w:val="00000B42"/>
    <w:rsid w:val="00000F66"/>
    <w:rsid w:val="00001027"/>
    <w:rsid w:val="0000208D"/>
    <w:rsid w:val="00002DE8"/>
    <w:rsid w:val="00003A58"/>
    <w:rsid w:val="00003B6D"/>
    <w:rsid w:val="0000451F"/>
    <w:rsid w:val="00004B44"/>
    <w:rsid w:val="00006303"/>
    <w:rsid w:val="000075F8"/>
    <w:rsid w:val="00013B5E"/>
    <w:rsid w:val="00013F43"/>
    <w:rsid w:val="00015269"/>
    <w:rsid w:val="00016965"/>
    <w:rsid w:val="00017DD0"/>
    <w:rsid w:val="00020B62"/>
    <w:rsid w:val="00021F6E"/>
    <w:rsid w:val="0002444F"/>
    <w:rsid w:val="000247AD"/>
    <w:rsid w:val="00024B38"/>
    <w:rsid w:val="00027A27"/>
    <w:rsid w:val="000302C1"/>
    <w:rsid w:val="000312A7"/>
    <w:rsid w:val="00031A80"/>
    <w:rsid w:val="00031B26"/>
    <w:rsid w:val="000343BD"/>
    <w:rsid w:val="00034EE0"/>
    <w:rsid w:val="000406A9"/>
    <w:rsid w:val="000407D1"/>
    <w:rsid w:val="0004088E"/>
    <w:rsid w:val="00040A64"/>
    <w:rsid w:val="0004116B"/>
    <w:rsid w:val="00041218"/>
    <w:rsid w:val="000413C3"/>
    <w:rsid w:val="00041413"/>
    <w:rsid w:val="00041A02"/>
    <w:rsid w:val="00041D5B"/>
    <w:rsid w:val="00042687"/>
    <w:rsid w:val="00044724"/>
    <w:rsid w:val="0004511C"/>
    <w:rsid w:val="00045A64"/>
    <w:rsid w:val="000466D2"/>
    <w:rsid w:val="00046B14"/>
    <w:rsid w:val="000478C9"/>
    <w:rsid w:val="00050E71"/>
    <w:rsid w:val="000511EC"/>
    <w:rsid w:val="00051B8E"/>
    <w:rsid w:val="00051FA9"/>
    <w:rsid w:val="000528E9"/>
    <w:rsid w:val="00052985"/>
    <w:rsid w:val="0005314F"/>
    <w:rsid w:val="0005379D"/>
    <w:rsid w:val="00054A27"/>
    <w:rsid w:val="00054C35"/>
    <w:rsid w:val="000551A6"/>
    <w:rsid w:val="00056F31"/>
    <w:rsid w:val="000575EA"/>
    <w:rsid w:val="00060632"/>
    <w:rsid w:val="00061E3D"/>
    <w:rsid w:val="00062542"/>
    <w:rsid w:val="000630A0"/>
    <w:rsid w:val="00063F5E"/>
    <w:rsid w:val="000656AE"/>
    <w:rsid w:val="000657F2"/>
    <w:rsid w:val="00066BF5"/>
    <w:rsid w:val="00066C0A"/>
    <w:rsid w:val="00067840"/>
    <w:rsid w:val="000678DA"/>
    <w:rsid w:val="00067FB2"/>
    <w:rsid w:val="00071327"/>
    <w:rsid w:val="00074B04"/>
    <w:rsid w:val="000764C6"/>
    <w:rsid w:val="00076B05"/>
    <w:rsid w:val="00077544"/>
    <w:rsid w:val="00080762"/>
    <w:rsid w:val="00081C5E"/>
    <w:rsid w:val="00083470"/>
    <w:rsid w:val="000850AA"/>
    <w:rsid w:val="000870F2"/>
    <w:rsid w:val="000872D6"/>
    <w:rsid w:val="000873E1"/>
    <w:rsid w:val="0008BDD0"/>
    <w:rsid w:val="00090149"/>
    <w:rsid w:val="00091783"/>
    <w:rsid w:val="0009294B"/>
    <w:rsid w:val="00092C86"/>
    <w:rsid w:val="00094DDE"/>
    <w:rsid w:val="00095617"/>
    <w:rsid w:val="00095A16"/>
    <w:rsid w:val="00097D2E"/>
    <w:rsid w:val="000A0B85"/>
    <w:rsid w:val="000A182E"/>
    <w:rsid w:val="000A1845"/>
    <w:rsid w:val="000A3436"/>
    <w:rsid w:val="000A3BBD"/>
    <w:rsid w:val="000A47F8"/>
    <w:rsid w:val="000A7367"/>
    <w:rsid w:val="000B284A"/>
    <w:rsid w:val="000B28E3"/>
    <w:rsid w:val="000B520B"/>
    <w:rsid w:val="000B5E46"/>
    <w:rsid w:val="000C39FA"/>
    <w:rsid w:val="000C4000"/>
    <w:rsid w:val="000C5391"/>
    <w:rsid w:val="000C58C5"/>
    <w:rsid w:val="000C6D5D"/>
    <w:rsid w:val="000C778C"/>
    <w:rsid w:val="000C7B24"/>
    <w:rsid w:val="000C7C71"/>
    <w:rsid w:val="000D122D"/>
    <w:rsid w:val="000D1349"/>
    <w:rsid w:val="000D31E1"/>
    <w:rsid w:val="000D4171"/>
    <w:rsid w:val="000D4A9A"/>
    <w:rsid w:val="000D618E"/>
    <w:rsid w:val="000D6B92"/>
    <w:rsid w:val="000D7B31"/>
    <w:rsid w:val="000E0097"/>
    <w:rsid w:val="000E123C"/>
    <w:rsid w:val="000E26E4"/>
    <w:rsid w:val="000E27EA"/>
    <w:rsid w:val="000E287B"/>
    <w:rsid w:val="000E31ED"/>
    <w:rsid w:val="000E43B8"/>
    <w:rsid w:val="000E526C"/>
    <w:rsid w:val="000E53A5"/>
    <w:rsid w:val="000E75BE"/>
    <w:rsid w:val="000E7BEB"/>
    <w:rsid w:val="000E7CE2"/>
    <w:rsid w:val="000F17B7"/>
    <w:rsid w:val="000F4262"/>
    <w:rsid w:val="000F5E6F"/>
    <w:rsid w:val="000F6479"/>
    <w:rsid w:val="000F64CE"/>
    <w:rsid w:val="000F6A51"/>
    <w:rsid w:val="001001C1"/>
    <w:rsid w:val="001002AB"/>
    <w:rsid w:val="00100EE6"/>
    <w:rsid w:val="00100F43"/>
    <w:rsid w:val="00101138"/>
    <w:rsid w:val="00103C7B"/>
    <w:rsid w:val="00104641"/>
    <w:rsid w:val="0010490B"/>
    <w:rsid w:val="0010520E"/>
    <w:rsid w:val="001077A4"/>
    <w:rsid w:val="00107A18"/>
    <w:rsid w:val="00110084"/>
    <w:rsid w:val="00112A8F"/>
    <w:rsid w:val="00112F78"/>
    <w:rsid w:val="001145DB"/>
    <w:rsid w:val="001148CD"/>
    <w:rsid w:val="00116A86"/>
    <w:rsid w:val="00117CAB"/>
    <w:rsid w:val="00121D0F"/>
    <w:rsid w:val="00121D87"/>
    <w:rsid w:val="00121EE9"/>
    <w:rsid w:val="00122806"/>
    <w:rsid w:val="00123BE8"/>
    <w:rsid w:val="001245CE"/>
    <w:rsid w:val="0012494E"/>
    <w:rsid w:val="00124B35"/>
    <w:rsid w:val="00125C98"/>
    <w:rsid w:val="00126C14"/>
    <w:rsid w:val="00131EC3"/>
    <w:rsid w:val="00132250"/>
    <w:rsid w:val="00132809"/>
    <w:rsid w:val="00134FC6"/>
    <w:rsid w:val="00136016"/>
    <w:rsid w:val="001366F4"/>
    <w:rsid w:val="0013690F"/>
    <w:rsid w:val="00140153"/>
    <w:rsid w:val="00141309"/>
    <w:rsid w:val="0014132D"/>
    <w:rsid w:val="00141363"/>
    <w:rsid w:val="0014223B"/>
    <w:rsid w:val="001428F1"/>
    <w:rsid w:val="00143030"/>
    <w:rsid w:val="001435DB"/>
    <w:rsid w:val="00143FB8"/>
    <w:rsid w:val="00144167"/>
    <w:rsid w:val="00146258"/>
    <w:rsid w:val="0014639D"/>
    <w:rsid w:val="001465CF"/>
    <w:rsid w:val="00146630"/>
    <w:rsid w:val="00146CBE"/>
    <w:rsid w:val="00150EDF"/>
    <w:rsid w:val="0015134C"/>
    <w:rsid w:val="00151A4B"/>
    <w:rsid w:val="00152CE3"/>
    <w:rsid w:val="00152E8F"/>
    <w:rsid w:val="00154770"/>
    <w:rsid w:val="00154A01"/>
    <w:rsid w:val="00155C55"/>
    <w:rsid w:val="0015679E"/>
    <w:rsid w:val="00156BDD"/>
    <w:rsid w:val="00156BEC"/>
    <w:rsid w:val="00157195"/>
    <w:rsid w:val="00157A63"/>
    <w:rsid w:val="00162554"/>
    <w:rsid w:val="0016268E"/>
    <w:rsid w:val="001627F0"/>
    <w:rsid w:val="00165201"/>
    <w:rsid w:val="00165368"/>
    <w:rsid w:val="00166381"/>
    <w:rsid w:val="00166858"/>
    <w:rsid w:val="001672E3"/>
    <w:rsid w:val="001705CC"/>
    <w:rsid w:val="001714C6"/>
    <w:rsid w:val="00171FE3"/>
    <w:rsid w:val="0017333D"/>
    <w:rsid w:val="00175666"/>
    <w:rsid w:val="00176B35"/>
    <w:rsid w:val="00182667"/>
    <w:rsid w:val="001826E3"/>
    <w:rsid w:val="001838F7"/>
    <w:rsid w:val="00184517"/>
    <w:rsid w:val="00184E28"/>
    <w:rsid w:val="001850C7"/>
    <w:rsid w:val="00186D58"/>
    <w:rsid w:val="00186E4F"/>
    <w:rsid w:val="00191DBC"/>
    <w:rsid w:val="00191E57"/>
    <w:rsid w:val="00192897"/>
    <w:rsid w:val="00192B52"/>
    <w:rsid w:val="00193C35"/>
    <w:rsid w:val="00194169"/>
    <w:rsid w:val="0019418E"/>
    <w:rsid w:val="00195225"/>
    <w:rsid w:val="00196144"/>
    <w:rsid w:val="001962F6"/>
    <w:rsid w:val="00196FAB"/>
    <w:rsid w:val="00197029"/>
    <w:rsid w:val="001A29FD"/>
    <w:rsid w:val="001A4EE1"/>
    <w:rsid w:val="001A55E3"/>
    <w:rsid w:val="001A5611"/>
    <w:rsid w:val="001A6B0B"/>
    <w:rsid w:val="001A7989"/>
    <w:rsid w:val="001B0360"/>
    <w:rsid w:val="001B04B6"/>
    <w:rsid w:val="001B0936"/>
    <w:rsid w:val="001B0ACB"/>
    <w:rsid w:val="001B265D"/>
    <w:rsid w:val="001B3019"/>
    <w:rsid w:val="001B35B9"/>
    <w:rsid w:val="001B58AA"/>
    <w:rsid w:val="001B5A8F"/>
    <w:rsid w:val="001B5FFB"/>
    <w:rsid w:val="001B7C17"/>
    <w:rsid w:val="001C31F7"/>
    <w:rsid w:val="001C3A26"/>
    <w:rsid w:val="001C407A"/>
    <w:rsid w:val="001C5071"/>
    <w:rsid w:val="001C7A90"/>
    <w:rsid w:val="001D0EA4"/>
    <w:rsid w:val="001D149D"/>
    <w:rsid w:val="001D2FCF"/>
    <w:rsid w:val="001D4190"/>
    <w:rsid w:val="001D4F2B"/>
    <w:rsid w:val="001D7CE2"/>
    <w:rsid w:val="001E4A29"/>
    <w:rsid w:val="001E502D"/>
    <w:rsid w:val="001E5239"/>
    <w:rsid w:val="001E5B0E"/>
    <w:rsid w:val="001E6141"/>
    <w:rsid w:val="001E72C5"/>
    <w:rsid w:val="001E74DA"/>
    <w:rsid w:val="001E7E6D"/>
    <w:rsid w:val="001F1156"/>
    <w:rsid w:val="001F2571"/>
    <w:rsid w:val="001F2EF7"/>
    <w:rsid w:val="001F49B4"/>
    <w:rsid w:val="001F6048"/>
    <w:rsid w:val="001F767C"/>
    <w:rsid w:val="001F7EFF"/>
    <w:rsid w:val="002002FD"/>
    <w:rsid w:val="00200BE8"/>
    <w:rsid w:val="002022FE"/>
    <w:rsid w:val="00202AD3"/>
    <w:rsid w:val="002037CB"/>
    <w:rsid w:val="00204262"/>
    <w:rsid w:val="002048C5"/>
    <w:rsid w:val="00206066"/>
    <w:rsid w:val="00206CFA"/>
    <w:rsid w:val="00206E33"/>
    <w:rsid w:val="002071C7"/>
    <w:rsid w:val="00207C4B"/>
    <w:rsid w:val="00207C62"/>
    <w:rsid w:val="002111CB"/>
    <w:rsid w:val="00213A7B"/>
    <w:rsid w:val="002141E6"/>
    <w:rsid w:val="00215510"/>
    <w:rsid w:val="00215CA2"/>
    <w:rsid w:val="00215EF3"/>
    <w:rsid w:val="0021643D"/>
    <w:rsid w:val="002168DA"/>
    <w:rsid w:val="0022090A"/>
    <w:rsid w:val="00222D72"/>
    <w:rsid w:val="00222DD2"/>
    <w:rsid w:val="00224C53"/>
    <w:rsid w:val="00225DF5"/>
    <w:rsid w:val="00226EE1"/>
    <w:rsid w:val="002276BA"/>
    <w:rsid w:val="00227A47"/>
    <w:rsid w:val="00231342"/>
    <w:rsid w:val="002329E4"/>
    <w:rsid w:val="0023311A"/>
    <w:rsid w:val="00233588"/>
    <w:rsid w:val="0023569C"/>
    <w:rsid w:val="002403BB"/>
    <w:rsid w:val="00242E0A"/>
    <w:rsid w:val="00242FDF"/>
    <w:rsid w:val="00244158"/>
    <w:rsid w:val="00244ABF"/>
    <w:rsid w:val="00247D2D"/>
    <w:rsid w:val="00251460"/>
    <w:rsid w:val="0025201D"/>
    <w:rsid w:val="00252F12"/>
    <w:rsid w:val="002531CC"/>
    <w:rsid w:val="00255967"/>
    <w:rsid w:val="00257034"/>
    <w:rsid w:val="00260096"/>
    <w:rsid w:val="00261476"/>
    <w:rsid w:val="002618F5"/>
    <w:rsid w:val="00261F0C"/>
    <w:rsid w:val="002627CE"/>
    <w:rsid w:val="00262BA8"/>
    <w:rsid w:val="00264DEF"/>
    <w:rsid w:val="00266A25"/>
    <w:rsid w:val="00266DF4"/>
    <w:rsid w:val="00267674"/>
    <w:rsid w:val="002708F1"/>
    <w:rsid w:val="002711E1"/>
    <w:rsid w:val="00271DB3"/>
    <w:rsid w:val="00272181"/>
    <w:rsid w:val="00272432"/>
    <w:rsid w:val="00275B60"/>
    <w:rsid w:val="00275CAF"/>
    <w:rsid w:val="00277CF1"/>
    <w:rsid w:val="002817B3"/>
    <w:rsid w:val="00282CA9"/>
    <w:rsid w:val="00283A4F"/>
    <w:rsid w:val="00283FD5"/>
    <w:rsid w:val="0028589D"/>
    <w:rsid w:val="00285CF0"/>
    <w:rsid w:val="002860DA"/>
    <w:rsid w:val="0028642F"/>
    <w:rsid w:val="00290253"/>
    <w:rsid w:val="00290C19"/>
    <w:rsid w:val="0029134F"/>
    <w:rsid w:val="0029270D"/>
    <w:rsid w:val="002928AF"/>
    <w:rsid w:val="00292FE7"/>
    <w:rsid w:val="002934CA"/>
    <w:rsid w:val="002942E8"/>
    <w:rsid w:val="00295D78"/>
    <w:rsid w:val="00295ED8"/>
    <w:rsid w:val="00297ACA"/>
    <w:rsid w:val="002A0306"/>
    <w:rsid w:val="002A23A2"/>
    <w:rsid w:val="002A2760"/>
    <w:rsid w:val="002A277C"/>
    <w:rsid w:val="002A2D16"/>
    <w:rsid w:val="002A4822"/>
    <w:rsid w:val="002A4A0B"/>
    <w:rsid w:val="002A5F3B"/>
    <w:rsid w:val="002B01FD"/>
    <w:rsid w:val="002B1445"/>
    <w:rsid w:val="002B4F7C"/>
    <w:rsid w:val="002B63FB"/>
    <w:rsid w:val="002B673B"/>
    <w:rsid w:val="002B6882"/>
    <w:rsid w:val="002B7A70"/>
    <w:rsid w:val="002C0BAD"/>
    <w:rsid w:val="002C0FC6"/>
    <w:rsid w:val="002C1290"/>
    <w:rsid w:val="002C421F"/>
    <w:rsid w:val="002C47CF"/>
    <w:rsid w:val="002D0818"/>
    <w:rsid w:val="002D1B11"/>
    <w:rsid w:val="002D256D"/>
    <w:rsid w:val="002D3949"/>
    <w:rsid w:val="002D3AFC"/>
    <w:rsid w:val="002D3C29"/>
    <w:rsid w:val="002D3E35"/>
    <w:rsid w:val="002D47AD"/>
    <w:rsid w:val="002D4E22"/>
    <w:rsid w:val="002D6208"/>
    <w:rsid w:val="002D6C6F"/>
    <w:rsid w:val="002D73DE"/>
    <w:rsid w:val="002D73F9"/>
    <w:rsid w:val="002D7B5E"/>
    <w:rsid w:val="002E06ED"/>
    <w:rsid w:val="002E15A2"/>
    <w:rsid w:val="002E181C"/>
    <w:rsid w:val="002E1DA8"/>
    <w:rsid w:val="002E270F"/>
    <w:rsid w:val="002E2A77"/>
    <w:rsid w:val="002E2AFA"/>
    <w:rsid w:val="002E3069"/>
    <w:rsid w:val="002E3EDE"/>
    <w:rsid w:val="002E4BCD"/>
    <w:rsid w:val="002E5178"/>
    <w:rsid w:val="002E62B5"/>
    <w:rsid w:val="002E6723"/>
    <w:rsid w:val="002F5A1E"/>
    <w:rsid w:val="002F74FB"/>
    <w:rsid w:val="00300310"/>
    <w:rsid w:val="003018A4"/>
    <w:rsid w:val="003025CC"/>
    <w:rsid w:val="00303224"/>
    <w:rsid w:val="00303315"/>
    <w:rsid w:val="00303941"/>
    <w:rsid w:val="00304B2E"/>
    <w:rsid w:val="0030582E"/>
    <w:rsid w:val="003060F6"/>
    <w:rsid w:val="0031009C"/>
    <w:rsid w:val="00311A4D"/>
    <w:rsid w:val="00311FBB"/>
    <w:rsid w:val="003132FA"/>
    <w:rsid w:val="00313BD2"/>
    <w:rsid w:val="00316702"/>
    <w:rsid w:val="00320501"/>
    <w:rsid w:val="00321C26"/>
    <w:rsid w:val="00322AD1"/>
    <w:rsid w:val="00322C9C"/>
    <w:rsid w:val="00323502"/>
    <w:rsid w:val="0032684C"/>
    <w:rsid w:val="0033006B"/>
    <w:rsid w:val="00331D5C"/>
    <w:rsid w:val="003323C0"/>
    <w:rsid w:val="0033399A"/>
    <w:rsid w:val="00333E1C"/>
    <w:rsid w:val="00336412"/>
    <w:rsid w:val="003364E1"/>
    <w:rsid w:val="00336E2C"/>
    <w:rsid w:val="00340F2D"/>
    <w:rsid w:val="003429BD"/>
    <w:rsid w:val="00342CD6"/>
    <w:rsid w:val="00343AF4"/>
    <w:rsid w:val="003441AD"/>
    <w:rsid w:val="0034427C"/>
    <w:rsid w:val="0034442B"/>
    <w:rsid w:val="00345FF2"/>
    <w:rsid w:val="003464FD"/>
    <w:rsid w:val="00346E3E"/>
    <w:rsid w:val="00346EE2"/>
    <w:rsid w:val="003508F2"/>
    <w:rsid w:val="0035268D"/>
    <w:rsid w:val="003528F6"/>
    <w:rsid w:val="00353764"/>
    <w:rsid w:val="00353FFF"/>
    <w:rsid w:val="00354427"/>
    <w:rsid w:val="00354BC4"/>
    <w:rsid w:val="003563BA"/>
    <w:rsid w:val="003566C8"/>
    <w:rsid w:val="003600AC"/>
    <w:rsid w:val="003601CC"/>
    <w:rsid w:val="003614A8"/>
    <w:rsid w:val="0036210C"/>
    <w:rsid w:val="00362E3A"/>
    <w:rsid w:val="00362ECC"/>
    <w:rsid w:val="00364C15"/>
    <w:rsid w:val="00364ED0"/>
    <w:rsid w:val="0036641E"/>
    <w:rsid w:val="003666B7"/>
    <w:rsid w:val="0037001A"/>
    <w:rsid w:val="003729FE"/>
    <w:rsid w:val="003730EE"/>
    <w:rsid w:val="00374F42"/>
    <w:rsid w:val="00375DCF"/>
    <w:rsid w:val="00376705"/>
    <w:rsid w:val="003769B7"/>
    <w:rsid w:val="00377A59"/>
    <w:rsid w:val="00377CBF"/>
    <w:rsid w:val="00377CDA"/>
    <w:rsid w:val="00380646"/>
    <w:rsid w:val="00381B08"/>
    <w:rsid w:val="00382A14"/>
    <w:rsid w:val="00384C29"/>
    <w:rsid w:val="00384D4D"/>
    <w:rsid w:val="003858B3"/>
    <w:rsid w:val="00385AB6"/>
    <w:rsid w:val="0038623C"/>
    <w:rsid w:val="003869D3"/>
    <w:rsid w:val="00386B8E"/>
    <w:rsid w:val="00390058"/>
    <w:rsid w:val="003905AC"/>
    <w:rsid w:val="00391765"/>
    <w:rsid w:val="00392C21"/>
    <w:rsid w:val="0039318F"/>
    <w:rsid w:val="003957D5"/>
    <w:rsid w:val="00396454"/>
    <w:rsid w:val="0039749D"/>
    <w:rsid w:val="00397606"/>
    <w:rsid w:val="003A2137"/>
    <w:rsid w:val="003A307C"/>
    <w:rsid w:val="003A422E"/>
    <w:rsid w:val="003A4473"/>
    <w:rsid w:val="003A550B"/>
    <w:rsid w:val="003A5D8F"/>
    <w:rsid w:val="003A6CD1"/>
    <w:rsid w:val="003A76EC"/>
    <w:rsid w:val="003B1898"/>
    <w:rsid w:val="003B6719"/>
    <w:rsid w:val="003B6C56"/>
    <w:rsid w:val="003B7ABF"/>
    <w:rsid w:val="003C07D3"/>
    <w:rsid w:val="003C1810"/>
    <w:rsid w:val="003C1812"/>
    <w:rsid w:val="003C3E52"/>
    <w:rsid w:val="003C50F6"/>
    <w:rsid w:val="003C7080"/>
    <w:rsid w:val="003C7BA9"/>
    <w:rsid w:val="003C7ED9"/>
    <w:rsid w:val="003D1B04"/>
    <w:rsid w:val="003D1D88"/>
    <w:rsid w:val="003D2D77"/>
    <w:rsid w:val="003D31A7"/>
    <w:rsid w:val="003D427B"/>
    <w:rsid w:val="003D4856"/>
    <w:rsid w:val="003D6478"/>
    <w:rsid w:val="003D6FF2"/>
    <w:rsid w:val="003D7799"/>
    <w:rsid w:val="003E037E"/>
    <w:rsid w:val="003E0512"/>
    <w:rsid w:val="003E0800"/>
    <w:rsid w:val="003E19E9"/>
    <w:rsid w:val="003E208F"/>
    <w:rsid w:val="003E2DAB"/>
    <w:rsid w:val="003E5AA1"/>
    <w:rsid w:val="003E70F0"/>
    <w:rsid w:val="003F0541"/>
    <w:rsid w:val="003F2049"/>
    <w:rsid w:val="003F21EB"/>
    <w:rsid w:val="003F26EE"/>
    <w:rsid w:val="003F2898"/>
    <w:rsid w:val="003F4A7F"/>
    <w:rsid w:val="003F4C38"/>
    <w:rsid w:val="003F4C90"/>
    <w:rsid w:val="003F5724"/>
    <w:rsid w:val="003F57A3"/>
    <w:rsid w:val="003F6463"/>
    <w:rsid w:val="003F6B74"/>
    <w:rsid w:val="003F77D5"/>
    <w:rsid w:val="004023B9"/>
    <w:rsid w:val="00404608"/>
    <w:rsid w:val="00404BC2"/>
    <w:rsid w:val="00406D6C"/>
    <w:rsid w:val="00406DE2"/>
    <w:rsid w:val="00406F0D"/>
    <w:rsid w:val="00407554"/>
    <w:rsid w:val="0041003B"/>
    <w:rsid w:val="00410406"/>
    <w:rsid w:val="00411C65"/>
    <w:rsid w:val="00412311"/>
    <w:rsid w:val="004133C9"/>
    <w:rsid w:val="00413D86"/>
    <w:rsid w:val="004140E3"/>
    <w:rsid w:val="00414D04"/>
    <w:rsid w:val="00414E54"/>
    <w:rsid w:val="004157EF"/>
    <w:rsid w:val="00415AA8"/>
    <w:rsid w:val="004169D9"/>
    <w:rsid w:val="004215C6"/>
    <w:rsid w:val="00424265"/>
    <w:rsid w:val="0042434F"/>
    <w:rsid w:val="00425C24"/>
    <w:rsid w:val="00426241"/>
    <w:rsid w:val="004269BB"/>
    <w:rsid w:val="00427624"/>
    <w:rsid w:val="0043020D"/>
    <w:rsid w:val="004305EE"/>
    <w:rsid w:val="0043103E"/>
    <w:rsid w:val="004313E5"/>
    <w:rsid w:val="004323B4"/>
    <w:rsid w:val="0043263E"/>
    <w:rsid w:val="00432E94"/>
    <w:rsid w:val="00433375"/>
    <w:rsid w:val="0043419B"/>
    <w:rsid w:val="00436A3F"/>
    <w:rsid w:val="00436B02"/>
    <w:rsid w:val="00436FF8"/>
    <w:rsid w:val="0043756E"/>
    <w:rsid w:val="00440D01"/>
    <w:rsid w:val="00441000"/>
    <w:rsid w:val="004422FD"/>
    <w:rsid w:val="00442A89"/>
    <w:rsid w:val="00442FFF"/>
    <w:rsid w:val="0044321E"/>
    <w:rsid w:val="004439BE"/>
    <w:rsid w:val="00444F35"/>
    <w:rsid w:val="004452C2"/>
    <w:rsid w:val="00450A61"/>
    <w:rsid w:val="004530CF"/>
    <w:rsid w:val="00454A6A"/>
    <w:rsid w:val="0045581D"/>
    <w:rsid w:val="004563B3"/>
    <w:rsid w:val="004570AA"/>
    <w:rsid w:val="00457381"/>
    <w:rsid w:val="0046020E"/>
    <w:rsid w:val="004606AB"/>
    <w:rsid w:val="00462B4D"/>
    <w:rsid w:val="00464077"/>
    <w:rsid w:val="004643F2"/>
    <w:rsid w:val="00464AE5"/>
    <w:rsid w:val="00471834"/>
    <w:rsid w:val="0047189C"/>
    <w:rsid w:val="00472F58"/>
    <w:rsid w:val="00473349"/>
    <w:rsid w:val="004736B5"/>
    <w:rsid w:val="00474BF4"/>
    <w:rsid w:val="00475956"/>
    <w:rsid w:val="00475E76"/>
    <w:rsid w:val="004772BD"/>
    <w:rsid w:val="0047736B"/>
    <w:rsid w:val="0048028B"/>
    <w:rsid w:val="00480CDA"/>
    <w:rsid w:val="0048106E"/>
    <w:rsid w:val="004840EC"/>
    <w:rsid w:val="004845CE"/>
    <w:rsid w:val="00484CFB"/>
    <w:rsid w:val="0048521C"/>
    <w:rsid w:val="00485CB1"/>
    <w:rsid w:val="00487652"/>
    <w:rsid w:val="00490176"/>
    <w:rsid w:val="00490AF5"/>
    <w:rsid w:val="00491803"/>
    <w:rsid w:val="004918AF"/>
    <w:rsid w:val="00491AC4"/>
    <w:rsid w:val="00492475"/>
    <w:rsid w:val="00492B86"/>
    <w:rsid w:val="00493956"/>
    <w:rsid w:val="00494479"/>
    <w:rsid w:val="00494AB4"/>
    <w:rsid w:val="004956EB"/>
    <w:rsid w:val="00495787"/>
    <w:rsid w:val="00496EB8"/>
    <w:rsid w:val="00497625"/>
    <w:rsid w:val="004A123F"/>
    <w:rsid w:val="004A7132"/>
    <w:rsid w:val="004A7C81"/>
    <w:rsid w:val="004B1F4F"/>
    <w:rsid w:val="004B2162"/>
    <w:rsid w:val="004B3F55"/>
    <w:rsid w:val="004B4C79"/>
    <w:rsid w:val="004B52CE"/>
    <w:rsid w:val="004B5FDD"/>
    <w:rsid w:val="004B60E3"/>
    <w:rsid w:val="004B7E6C"/>
    <w:rsid w:val="004C01BE"/>
    <w:rsid w:val="004C1C5A"/>
    <w:rsid w:val="004C52C8"/>
    <w:rsid w:val="004C59A6"/>
    <w:rsid w:val="004C64DE"/>
    <w:rsid w:val="004C7641"/>
    <w:rsid w:val="004C7A46"/>
    <w:rsid w:val="004D0349"/>
    <w:rsid w:val="004D1D8C"/>
    <w:rsid w:val="004D1F6E"/>
    <w:rsid w:val="004D3279"/>
    <w:rsid w:val="004D562C"/>
    <w:rsid w:val="004D6F13"/>
    <w:rsid w:val="004D74F4"/>
    <w:rsid w:val="004E0E95"/>
    <w:rsid w:val="004E0FB9"/>
    <w:rsid w:val="004E16B6"/>
    <w:rsid w:val="004E1C76"/>
    <w:rsid w:val="004E1F08"/>
    <w:rsid w:val="004E237B"/>
    <w:rsid w:val="004E2523"/>
    <w:rsid w:val="004E31C3"/>
    <w:rsid w:val="004E423F"/>
    <w:rsid w:val="004E4371"/>
    <w:rsid w:val="004E5742"/>
    <w:rsid w:val="004E5FE3"/>
    <w:rsid w:val="004E7893"/>
    <w:rsid w:val="004F0DB6"/>
    <w:rsid w:val="004F155D"/>
    <w:rsid w:val="004F25DD"/>
    <w:rsid w:val="004F4D5F"/>
    <w:rsid w:val="004F4EDC"/>
    <w:rsid w:val="004F69DF"/>
    <w:rsid w:val="004F71E0"/>
    <w:rsid w:val="005001DA"/>
    <w:rsid w:val="00500BDA"/>
    <w:rsid w:val="00501F02"/>
    <w:rsid w:val="00502C57"/>
    <w:rsid w:val="005051B3"/>
    <w:rsid w:val="005060C4"/>
    <w:rsid w:val="005063C2"/>
    <w:rsid w:val="00507315"/>
    <w:rsid w:val="00510BD6"/>
    <w:rsid w:val="00510C08"/>
    <w:rsid w:val="00513522"/>
    <w:rsid w:val="00516599"/>
    <w:rsid w:val="00521077"/>
    <w:rsid w:val="00522A89"/>
    <w:rsid w:val="00524D5D"/>
    <w:rsid w:val="0052514F"/>
    <w:rsid w:val="005279A9"/>
    <w:rsid w:val="005279BD"/>
    <w:rsid w:val="00530268"/>
    <w:rsid w:val="00531922"/>
    <w:rsid w:val="00531DE6"/>
    <w:rsid w:val="0053385F"/>
    <w:rsid w:val="00533ED0"/>
    <w:rsid w:val="005347DB"/>
    <w:rsid w:val="00534BD4"/>
    <w:rsid w:val="005350A7"/>
    <w:rsid w:val="00536E79"/>
    <w:rsid w:val="00540957"/>
    <w:rsid w:val="00540CB8"/>
    <w:rsid w:val="00541BFC"/>
    <w:rsid w:val="0054224E"/>
    <w:rsid w:val="00543EF6"/>
    <w:rsid w:val="00544541"/>
    <w:rsid w:val="00544593"/>
    <w:rsid w:val="00544D55"/>
    <w:rsid w:val="00544E21"/>
    <w:rsid w:val="0054636A"/>
    <w:rsid w:val="00546958"/>
    <w:rsid w:val="0055004D"/>
    <w:rsid w:val="0055185F"/>
    <w:rsid w:val="00551862"/>
    <w:rsid w:val="00553045"/>
    <w:rsid w:val="00553CA0"/>
    <w:rsid w:val="0055421D"/>
    <w:rsid w:val="0056000B"/>
    <w:rsid w:val="0056006D"/>
    <w:rsid w:val="00560B3E"/>
    <w:rsid w:val="00560EBE"/>
    <w:rsid w:val="00562D48"/>
    <w:rsid w:val="00565B09"/>
    <w:rsid w:val="005677C0"/>
    <w:rsid w:val="00567A71"/>
    <w:rsid w:val="0057047D"/>
    <w:rsid w:val="005728D0"/>
    <w:rsid w:val="0057340C"/>
    <w:rsid w:val="005734ED"/>
    <w:rsid w:val="00573947"/>
    <w:rsid w:val="0057490E"/>
    <w:rsid w:val="0057578F"/>
    <w:rsid w:val="005778B8"/>
    <w:rsid w:val="00577C96"/>
    <w:rsid w:val="0058046C"/>
    <w:rsid w:val="00580C71"/>
    <w:rsid w:val="005811B6"/>
    <w:rsid w:val="00581228"/>
    <w:rsid w:val="005813F9"/>
    <w:rsid w:val="0058256A"/>
    <w:rsid w:val="00582DC6"/>
    <w:rsid w:val="00582EE7"/>
    <w:rsid w:val="00583B03"/>
    <w:rsid w:val="00584570"/>
    <w:rsid w:val="005853FB"/>
    <w:rsid w:val="005867F2"/>
    <w:rsid w:val="005878A7"/>
    <w:rsid w:val="00587BD7"/>
    <w:rsid w:val="00591899"/>
    <w:rsid w:val="00592E91"/>
    <w:rsid w:val="00592FDD"/>
    <w:rsid w:val="00593B0B"/>
    <w:rsid w:val="005942EF"/>
    <w:rsid w:val="00594499"/>
    <w:rsid w:val="005959B6"/>
    <w:rsid w:val="00595DD9"/>
    <w:rsid w:val="00597331"/>
    <w:rsid w:val="005A1191"/>
    <w:rsid w:val="005A1B8F"/>
    <w:rsid w:val="005A1EB5"/>
    <w:rsid w:val="005A206D"/>
    <w:rsid w:val="005A2E90"/>
    <w:rsid w:val="005A3E62"/>
    <w:rsid w:val="005A5889"/>
    <w:rsid w:val="005A5941"/>
    <w:rsid w:val="005A7FE9"/>
    <w:rsid w:val="005B0894"/>
    <w:rsid w:val="005B2EB1"/>
    <w:rsid w:val="005B3749"/>
    <w:rsid w:val="005B583B"/>
    <w:rsid w:val="005B64D0"/>
    <w:rsid w:val="005B6A15"/>
    <w:rsid w:val="005B7413"/>
    <w:rsid w:val="005C07C5"/>
    <w:rsid w:val="005C1836"/>
    <w:rsid w:val="005C215F"/>
    <w:rsid w:val="005C22E7"/>
    <w:rsid w:val="005C2940"/>
    <w:rsid w:val="005C35BD"/>
    <w:rsid w:val="005C35E1"/>
    <w:rsid w:val="005C6520"/>
    <w:rsid w:val="005C669C"/>
    <w:rsid w:val="005C6765"/>
    <w:rsid w:val="005C6ABB"/>
    <w:rsid w:val="005C6BA4"/>
    <w:rsid w:val="005C7676"/>
    <w:rsid w:val="005C7715"/>
    <w:rsid w:val="005C7A32"/>
    <w:rsid w:val="005C7BBA"/>
    <w:rsid w:val="005D0DFC"/>
    <w:rsid w:val="005D16A5"/>
    <w:rsid w:val="005D1E80"/>
    <w:rsid w:val="005D2945"/>
    <w:rsid w:val="005D547C"/>
    <w:rsid w:val="005D56E9"/>
    <w:rsid w:val="005D73D4"/>
    <w:rsid w:val="005E30CF"/>
    <w:rsid w:val="005E61E3"/>
    <w:rsid w:val="005E6544"/>
    <w:rsid w:val="005E7278"/>
    <w:rsid w:val="005E72B8"/>
    <w:rsid w:val="005E745A"/>
    <w:rsid w:val="005F0302"/>
    <w:rsid w:val="005F4122"/>
    <w:rsid w:val="005F5460"/>
    <w:rsid w:val="00600D2E"/>
    <w:rsid w:val="00600E81"/>
    <w:rsid w:val="00602481"/>
    <w:rsid w:val="00602B4B"/>
    <w:rsid w:val="0060372C"/>
    <w:rsid w:val="00603B0D"/>
    <w:rsid w:val="00603CFC"/>
    <w:rsid w:val="00603DAF"/>
    <w:rsid w:val="00603F6D"/>
    <w:rsid w:val="00605746"/>
    <w:rsid w:val="00605BF0"/>
    <w:rsid w:val="00605F88"/>
    <w:rsid w:val="00610D1F"/>
    <w:rsid w:val="00611682"/>
    <w:rsid w:val="006126F1"/>
    <w:rsid w:val="006167E6"/>
    <w:rsid w:val="00617197"/>
    <w:rsid w:val="00622C91"/>
    <w:rsid w:val="0062542D"/>
    <w:rsid w:val="00625ABB"/>
    <w:rsid w:val="00625ECD"/>
    <w:rsid w:val="0062609F"/>
    <w:rsid w:val="006265DA"/>
    <w:rsid w:val="00626F92"/>
    <w:rsid w:val="006275B7"/>
    <w:rsid w:val="00630678"/>
    <w:rsid w:val="00631312"/>
    <w:rsid w:val="0063145B"/>
    <w:rsid w:val="006329FF"/>
    <w:rsid w:val="006334AE"/>
    <w:rsid w:val="00634164"/>
    <w:rsid w:val="00634DC4"/>
    <w:rsid w:val="00634FC1"/>
    <w:rsid w:val="006351C5"/>
    <w:rsid w:val="00637E2D"/>
    <w:rsid w:val="00640B79"/>
    <w:rsid w:val="00640E1A"/>
    <w:rsid w:val="00641134"/>
    <w:rsid w:val="00641902"/>
    <w:rsid w:val="00642893"/>
    <w:rsid w:val="0064303C"/>
    <w:rsid w:val="0064343F"/>
    <w:rsid w:val="00644BBD"/>
    <w:rsid w:val="006469D5"/>
    <w:rsid w:val="00647276"/>
    <w:rsid w:val="00650627"/>
    <w:rsid w:val="00657BDB"/>
    <w:rsid w:val="00660D86"/>
    <w:rsid w:val="00661A4E"/>
    <w:rsid w:val="00662789"/>
    <w:rsid w:val="006628F9"/>
    <w:rsid w:val="00662A8B"/>
    <w:rsid w:val="00662CAC"/>
    <w:rsid w:val="006636A2"/>
    <w:rsid w:val="00665374"/>
    <w:rsid w:val="00666AE1"/>
    <w:rsid w:val="00666DCC"/>
    <w:rsid w:val="00667633"/>
    <w:rsid w:val="0066787D"/>
    <w:rsid w:val="00667E10"/>
    <w:rsid w:val="0067042C"/>
    <w:rsid w:val="0067053B"/>
    <w:rsid w:val="006712DE"/>
    <w:rsid w:val="006722B8"/>
    <w:rsid w:val="00672E1F"/>
    <w:rsid w:val="00673458"/>
    <w:rsid w:val="006737A0"/>
    <w:rsid w:val="00674EFD"/>
    <w:rsid w:val="00676284"/>
    <w:rsid w:val="00676753"/>
    <w:rsid w:val="00677046"/>
    <w:rsid w:val="00677C38"/>
    <w:rsid w:val="00680B55"/>
    <w:rsid w:val="00681275"/>
    <w:rsid w:val="00681E1E"/>
    <w:rsid w:val="00681ECB"/>
    <w:rsid w:val="00681F18"/>
    <w:rsid w:val="00683168"/>
    <w:rsid w:val="00685090"/>
    <w:rsid w:val="0069139F"/>
    <w:rsid w:val="00692889"/>
    <w:rsid w:val="00692FD1"/>
    <w:rsid w:val="0069552B"/>
    <w:rsid w:val="0069761D"/>
    <w:rsid w:val="00697976"/>
    <w:rsid w:val="006A041A"/>
    <w:rsid w:val="006A2CF3"/>
    <w:rsid w:val="006A3D50"/>
    <w:rsid w:val="006A5BBE"/>
    <w:rsid w:val="006A627A"/>
    <w:rsid w:val="006A634B"/>
    <w:rsid w:val="006B2411"/>
    <w:rsid w:val="006B2754"/>
    <w:rsid w:val="006B283F"/>
    <w:rsid w:val="006B2C29"/>
    <w:rsid w:val="006B349E"/>
    <w:rsid w:val="006B34C8"/>
    <w:rsid w:val="006B3672"/>
    <w:rsid w:val="006B570F"/>
    <w:rsid w:val="006B6836"/>
    <w:rsid w:val="006B740D"/>
    <w:rsid w:val="006C06CE"/>
    <w:rsid w:val="006C0EDD"/>
    <w:rsid w:val="006C1D26"/>
    <w:rsid w:val="006C4AD0"/>
    <w:rsid w:val="006C53E7"/>
    <w:rsid w:val="006C66AF"/>
    <w:rsid w:val="006D2F83"/>
    <w:rsid w:val="006D4636"/>
    <w:rsid w:val="006D5BE6"/>
    <w:rsid w:val="006D709F"/>
    <w:rsid w:val="006D7554"/>
    <w:rsid w:val="006E14CD"/>
    <w:rsid w:val="006E1A48"/>
    <w:rsid w:val="006E2C32"/>
    <w:rsid w:val="006E35F6"/>
    <w:rsid w:val="006E4CFF"/>
    <w:rsid w:val="006E52A4"/>
    <w:rsid w:val="006E530A"/>
    <w:rsid w:val="006F159E"/>
    <w:rsid w:val="006F21A0"/>
    <w:rsid w:val="006F2571"/>
    <w:rsid w:val="006F2662"/>
    <w:rsid w:val="006F3459"/>
    <w:rsid w:val="006F489B"/>
    <w:rsid w:val="006F58CA"/>
    <w:rsid w:val="007009EA"/>
    <w:rsid w:val="00701F71"/>
    <w:rsid w:val="00702E6A"/>
    <w:rsid w:val="00703005"/>
    <w:rsid w:val="00704CB7"/>
    <w:rsid w:val="0071075D"/>
    <w:rsid w:val="00710E15"/>
    <w:rsid w:val="00713B5C"/>
    <w:rsid w:val="00713DDD"/>
    <w:rsid w:val="00714061"/>
    <w:rsid w:val="00714E42"/>
    <w:rsid w:val="007157AC"/>
    <w:rsid w:val="00715CCF"/>
    <w:rsid w:val="00716171"/>
    <w:rsid w:val="0071683B"/>
    <w:rsid w:val="00720E4E"/>
    <w:rsid w:val="007217DF"/>
    <w:rsid w:val="00722E41"/>
    <w:rsid w:val="00723330"/>
    <w:rsid w:val="00724A3F"/>
    <w:rsid w:val="00724CB9"/>
    <w:rsid w:val="00726541"/>
    <w:rsid w:val="0072748C"/>
    <w:rsid w:val="00730949"/>
    <w:rsid w:val="00731153"/>
    <w:rsid w:val="00731344"/>
    <w:rsid w:val="007317BD"/>
    <w:rsid w:val="007351A4"/>
    <w:rsid w:val="00735571"/>
    <w:rsid w:val="007355DA"/>
    <w:rsid w:val="007372C6"/>
    <w:rsid w:val="00737917"/>
    <w:rsid w:val="00740429"/>
    <w:rsid w:val="00741EF5"/>
    <w:rsid w:val="00744080"/>
    <w:rsid w:val="0074517D"/>
    <w:rsid w:val="00745BE1"/>
    <w:rsid w:val="007464D3"/>
    <w:rsid w:val="00747E97"/>
    <w:rsid w:val="00750552"/>
    <w:rsid w:val="0075056D"/>
    <w:rsid w:val="00750595"/>
    <w:rsid w:val="00751BD8"/>
    <w:rsid w:val="007524A1"/>
    <w:rsid w:val="00755120"/>
    <w:rsid w:val="00755FC1"/>
    <w:rsid w:val="0075656F"/>
    <w:rsid w:val="00756C7A"/>
    <w:rsid w:val="007575A6"/>
    <w:rsid w:val="00757770"/>
    <w:rsid w:val="00760419"/>
    <w:rsid w:val="007614B3"/>
    <w:rsid w:val="00762229"/>
    <w:rsid w:val="00762C71"/>
    <w:rsid w:val="0076443E"/>
    <w:rsid w:val="00764A88"/>
    <w:rsid w:val="00765C74"/>
    <w:rsid w:val="00767B33"/>
    <w:rsid w:val="00770428"/>
    <w:rsid w:val="0077050F"/>
    <w:rsid w:val="00770B8F"/>
    <w:rsid w:val="00770DE7"/>
    <w:rsid w:val="007739E8"/>
    <w:rsid w:val="007752F8"/>
    <w:rsid w:val="00775696"/>
    <w:rsid w:val="00775D71"/>
    <w:rsid w:val="007801CE"/>
    <w:rsid w:val="00780B4B"/>
    <w:rsid w:val="00781656"/>
    <w:rsid w:val="00781890"/>
    <w:rsid w:val="00785059"/>
    <w:rsid w:val="00785203"/>
    <w:rsid w:val="0078546A"/>
    <w:rsid w:val="00786E65"/>
    <w:rsid w:val="00787267"/>
    <w:rsid w:val="00787998"/>
    <w:rsid w:val="007901F3"/>
    <w:rsid w:val="0079572F"/>
    <w:rsid w:val="00795AA8"/>
    <w:rsid w:val="00796482"/>
    <w:rsid w:val="007A15B9"/>
    <w:rsid w:val="007A16BB"/>
    <w:rsid w:val="007A2384"/>
    <w:rsid w:val="007A24C6"/>
    <w:rsid w:val="007A2793"/>
    <w:rsid w:val="007A3615"/>
    <w:rsid w:val="007A3A33"/>
    <w:rsid w:val="007A4068"/>
    <w:rsid w:val="007A434A"/>
    <w:rsid w:val="007A480A"/>
    <w:rsid w:val="007A4C05"/>
    <w:rsid w:val="007A5271"/>
    <w:rsid w:val="007A69E6"/>
    <w:rsid w:val="007A6B5A"/>
    <w:rsid w:val="007A74AB"/>
    <w:rsid w:val="007A77B4"/>
    <w:rsid w:val="007A7A19"/>
    <w:rsid w:val="007B0B6B"/>
    <w:rsid w:val="007B11B6"/>
    <w:rsid w:val="007B1265"/>
    <w:rsid w:val="007B5FB7"/>
    <w:rsid w:val="007B65C5"/>
    <w:rsid w:val="007B6D12"/>
    <w:rsid w:val="007B766D"/>
    <w:rsid w:val="007B771B"/>
    <w:rsid w:val="007C0027"/>
    <w:rsid w:val="007C0065"/>
    <w:rsid w:val="007C02CF"/>
    <w:rsid w:val="007C03E0"/>
    <w:rsid w:val="007C1D33"/>
    <w:rsid w:val="007C2A0C"/>
    <w:rsid w:val="007C33D4"/>
    <w:rsid w:val="007C3A8E"/>
    <w:rsid w:val="007C3AE4"/>
    <w:rsid w:val="007C3EDE"/>
    <w:rsid w:val="007C4C9F"/>
    <w:rsid w:val="007C5559"/>
    <w:rsid w:val="007C5A65"/>
    <w:rsid w:val="007C65D6"/>
    <w:rsid w:val="007C7544"/>
    <w:rsid w:val="007D0B7C"/>
    <w:rsid w:val="007D134C"/>
    <w:rsid w:val="007D16A9"/>
    <w:rsid w:val="007D1B3B"/>
    <w:rsid w:val="007D342E"/>
    <w:rsid w:val="007D3A6C"/>
    <w:rsid w:val="007D5509"/>
    <w:rsid w:val="007D5A12"/>
    <w:rsid w:val="007D6A2A"/>
    <w:rsid w:val="007D6C20"/>
    <w:rsid w:val="007E0CDA"/>
    <w:rsid w:val="007E1C35"/>
    <w:rsid w:val="007E2504"/>
    <w:rsid w:val="007E3332"/>
    <w:rsid w:val="007E34F6"/>
    <w:rsid w:val="007E59CF"/>
    <w:rsid w:val="007E6284"/>
    <w:rsid w:val="007E68BC"/>
    <w:rsid w:val="007E71E4"/>
    <w:rsid w:val="007E7BD3"/>
    <w:rsid w:val="007F14A7"/>
    <w:rsid w:val="007F2296"/>
    <w:rsid w:val="007F2D79"/>
    <w:rsid w:val="007F32F0"/>
    <w:rsid w:val="007F39EA"/>
    <w:rsid w:val="007F3F72"/>
    <w:rsid w:val="007F57A4"/>
    <w:rsid w:val="007F598B"/>
    <w:rsid w:val="007F5A8A"/>
    <w:rsid w:val="007F6011"/>
    <w:rsid w:val="007F6E34"/>
    <w:rsid w:val="007F769C"/>
    <w:rsid w:val="007F77D3"/>
    <w:rsid w:val="007F7861"/>
    <w:rsid w:val="007F7BFD"/>
    <w:rsid w:val="00800336"/>
    <w:rsid w:val="0080074D"/>
    <w:rsid w:val="00802087"/>
    <w:rsid w:val="008023E1"/>
    <w:rsid w:val="008025FC"/>
    <w:rsid w:val="008030BA"/>
    <w:rsid w:val="008036AF"/>
    <w:rsid w:val="00804290"/>
    <w:rsid w:val="008043B1"/>
    <w:rsid w:val="00805164"/>
    <w:rsid w:val="008073B9"/>
    <w:rsid w:val="00807FB9"/>
    <w:rsid w:val="008108BB"/>
    <w:rsid w:val="0081270C"/>
    <w:rsid w:val="0081405A"/>
    <w:rsid w:val="00815BB9"/>
    <w:rsid w:val="00815F6E"/>
    <w:rsid w:val="00816132"/>
    <w:rsid w:val="008166F1"/>
    <w:rsid w:val="0081749B"/>
    <w:rsid w:val="008205F8"/>
    <w:rsid w:val="008209E3"/>
    <w:rsid w:val="00820ACF"/>
    <w:rsid w:val="0082197B"/>
    <w:rsid w:val="008225A8"/>
    <w:rsid w:val="00822F7A"/>
    <w:rsid w:val="00824213"/>
    <w:rsid w:val="00824657"/>
    <w:rsid w:val="00825483"/>
    <w:rsid w:val="0082727D"/>
    <w:rsid w:val="00827671"/>
    <w:rsid w:val="00831AFC"/>
    <w:rsid w:val="0083265C"/>
    <w:rsid w:val="008340A1"/>
    <w:rsid w:val="0083471F"/>
    <w:rsid w:val="00836A5B"/>
    <w:rsid w:val="00845107"/>
    <w:rsid w:val="00846555"/>
    <w:rsid w:val="00846D9C"/>
    <w:rsid w:val="00847DCA"/>
    <w:rsid w:val="00851DFF"/>
    <w:rsid w:val="0085250E"/>
    <w:rsid w:val="00852A15"/>
    <w:rsid w:val="0085359D"/>
    <w:rsid w:val="0085487C"/>
    <w:rsid w:val="008549D3"/>
    <w:rsid w:val="00854EB7"/>
    <w:rsid w:val="0085638F"/>
    <w:rsid w:val="00856590"/>
    <w:rsid w:val="008576B6"/>
    <w:rsid w:val="00857A0D"/>
    <w:rsid w:val="0086030E"/>
    <w:rsid w:val="0086059A"/>
    <w:rsid w:val="00860AEC"/>
    <w:rsid w:val="008617CD"/>
    <w:rsid w:val="00862097"/>
    <w:rsid w:val="0086221D"/>
    <w:rsid w:val="0086221E"/>
    <w:rsid w:val="00862E58"/>
    <w:rsid w:val="00863027"/>
    <w:rsid w:val="00865055"/>
    <w:rsid w:val="00866070"/>
    <w:rsid w:val="0086634A"/>
    <w:rsid w:val="008665E3"/>
    <w:rsid w:val="008674E3"/>
    <w:rsid w:val="00867FF5"/>
    <w:rsid w:val="00872130"/>
    <w:rsid w:val="0087348C"/>
    <w:rsid w:val="008735FD"/>
    <w:rsid w:val="008738D8"/>
    <w:rsid w:val="00873AF0"/>
    <w:rsid w:val="0087604D"/>
    <w:rsid w:val="00880E2B"/>
    <w:rsid w:val="0088133B"/>
    <w:rsid w:val="008813F4"/>
    <w:rsid w:val="00881648"/>
    <w:rsid w:val="00881677"/>
    <w:rsid w:val="0088268B"/>
    <w:rsid w:val="00883215"/>
    <w:rsid w:val="00884EB9"/>
    <w:rsid w:val="00885730"/>
    <w:rsid w:val="00887511"/>
    <w:rsid w:val="00890174"/>
    <w:rsid w:val="0089076D"/>
    <w:rsid w:val="00890B64"/>
    <w:rsid w:val="008915DD"/>
    <w:rsid w:val="00891B64"/>
    <w:rsid w:val="0089301C"/>
    <w:rsid w:val="00893046"/>
    <w:rsid w:val="00894B83"/>
    <w:rsid w:val="0089768B"/>
    <w:rsid w:val="008978F6"/>
    <w:rsid w:val="008A0ACD"/>
    <w:rsid w:val="008A1B0D"/>
    <w:rsid w:val="008A28DA"/>
    <w:rsid w:val="008A29D2"/>
    <w:rsid w:val="008A32BD"/>
    <w:rsid w:val="008A4F66"/>
    <w:rsid w:val="008A53C4"/>
    <w:rsid w:val="008A6748"/>
    <w:rsid w:val="008B0649"/>
    <w:rsid w:val="008B1629"/>
    <w:rsid w:val="008B174B"/>
    <w:rsid w:val="008B1995"/>
    <w:rsid w:val="008B1A87"/>
    <w:rsid w:val="008B1D62"/>
    <w:rsid w:val="008B3164"/>
    <w:rsid w:val="008B36AC"/>
    <w:rsid w:val="008B383F"/>
    <w:rsid w:val="008B5A8D"/>
    <w:rsid w:val="008B5C5C"/>
    <w:rsid w:val="008B6C15"/>
    <w:rsid w:val="008B6F47"/>
    <w:rsid w:val="008B6F6B"/>
    <w:rsid w:val="008B7EC7"/>
    <w:rsid w:val="008C0388"/>
    <w:rsid w:val="008C0FD3"/>
    <w:rsid w:val="008C16C5"/>
    <w:rsid w:val="008C181A"/>
    <w:rsid w:val="008C3BE9"/>
    <w:rsid w:val="008C46C9"/>
    <w:rsid w:val="008C5E65"/>
    <w:rsid w:val="008C61AB"/>
    <w:rsid w:val="008D0BFF"/>
    <w:rsid w:val="008D0FBE"/>
    <w:rsid w:val="008D15FD"/>
    <w:rsid w:val="008D2835"/>
    <w:rsid w:val="008D28C8"/>
    <w:rsid w:val="008D37A4"/>
    <w:rsid w:val="008D5DBE"/>
    <w:rsid w:val="008D6755"/>
    <w:rsid w:val="008D7F62"/>
    <w:rsid w:val="008E043E"/>
    <w:rsid w:val="008E0A08"/>
    <w:rsid w:val="008E1A0A"/>
    <w:rsid w:val="008E342F"/>
    <w:rsid w:val="008E4C38"/>
    <w:rsid w:val="008E53C8"/>
    <w:rsid w:val="008E5CB0"/>
    <w:rsid w:val="008F1C9A"/>
    <w:rsid w:val="008F1CA0"/>
    <w:rsid w:val="008F2ECD"/>
    <w:rsid w:val="008F31B2"/>
    <w:rsid w:val="008F698C"/>
    <w:rsid w:val="008F6AB8"/>
    <w:rsid w:val="008F6EFA"/>
    <w:rsid w:val="0090064D"/>
    <w:rsid w:val="009019B4"/>
    <w:rsid w:val="00902BE5"/>
    <w:rsid w:val="00903612"/>
    <w:rsid w:val="00904C1B"/>
    <w:rsid w:val="00905348"/>
    <w:rsid w:val="009061FF"/>
    <w:rsid w:val="009069CB"/>
    <w:rsid w:val="0090785D"/>
    <w:rsid w:val="00907C8E"/>
    <w:rsid w:val="00910152"/>
    <w:rsid w:val="009110BC"/>
    <w:rsid w:val="00911A5E"/>
    <w:rsid w:val="00911BDA"/>
    <w:rsid w:val="00911EF3"/>
    <w:rsid w:val="00912335"/>
    <w:rsid w:val="009128A6"/>
    <w:rsid w:val="00912C58"/>
    <w:rsid w:val="009141D3"/>
    <w:rsid w:val="00914BB0"/>
    <w:rsid w:val="00914E66"/>
    <w:rsid w:val="00915AE6"/>
    <w:rsid w:val="0091665E"/>
    <w:rsid w:val="0091716C"/>
    <w:rsid w:val="00920CC3"/>
    <w:rsid w:val="009226D1"/>
    <w:rsid w:val="00924F17"/>
    <w:rsid w:val="00925AA8"/>
    <w:rsid w:val="00925B52"/>
    <w:rsid w:val="00926485"/>
    <w:rsid w:val="009265BA"/>
    <w:rsid w:val="0092707E"/>
    <w:rsid w:val="0093029D"/>
    <w:rsid w:val="009308ED"/>
    <w:rsid w:val="00930C31"/>
    <w:rsid w:val="00933216"/>
    <w:rsid w:val="00933287"/>
    <w:rsid w:val="009340AE"/>
    <w:rsid w:val="0093423A"/>
    <w:rsid w:val="00934C6F"/>
    <w:rsid w:val="0093558A"/>
    <w:rsid w:val="00935E94"/>
    <w:rsid w:val="009364AC"/>
    <w:rsid w:val="00936534"/>
    <w:rsid w:val="00936656"/>
    <w:rsid w:val="00936DCD"/>
    <w:rsid w:val="0093711C"/>
    <w:rsid w:val="009375EC"/>
    <w:rsid w:val="00937FF8"/>
    <w:rsid w:val="00941BA5"/>
    <w:rsid w:val="00942DF4"/>
    <w:rsid w:val="0094305C"/>
    <w:rsid w:val="00943075"/>
    <w:rsid w:val="009431D8"/>
    <w:rsid w:val="00944C1A"/>
    <w:rsid w:val="00945255"/>
    <w:rsid w:val="009455CA"/>
    <w:rsid w:val="009460D4"/>
    <w:rsid w:val="00946CFE"/>
    <w:rsid w:val="009517DE"/>
    <w:rsid w:val="009557F1"/>
    <w:rsid w:val="00955E47"/>
    <w:rsid w:val="00957B54"/>
    <w:rsid w:val="00960B07"/>
    <w:rsid w:val="00961B68"/>
    <w:rsid w:val="00962226"/>
    <w:rsid w:val="00964753"/>
    <w:rsid w:val="009665E4"/>
    <w:rsid w:val="00966639"/>
    <w:rsid w:val="0096690C"/>
    <w:rsid w:val="00967649"/>
    <w:rsid w:val="00970C36"/>
    <w:rsid w:val="00970CE7"/>
    <w:rsid w:val="009712A5"/>
    <w:rsid w:val="009714ED"/>
    <w:rsid w:val="00971A3D"/>
    <w:rsid w:val="00972189"/>
    <w:rsid w:val="00973630"/>
    <w:rsid w:val="00974381"/>
    <w:rsid w:val="0097687E"/>
    <w:rsid w:val="00976A9F"/>
    <w:rsid w:val="00976C45"/>
    <w:rsid w:val="00981E88"/>
    <w:rsid w:val="00981F04"/>
    <w:rsid w:val="00982192"/>
    <w:rsid w:val="00982AA2"/>
    <w:rsid w:val="0098310E"/>
    <w:rsid w:val="00983196"/>
    <w:rsid w:val="009836EB"/>
    <w:rsid w:val="0098589D"/>
    <w:rsid w:val="00985A85"/>
    <w:rsid w:val="00985D13"/>
    <w:rsid w:val="0098688D"/>
    <w:rsid w:val="0098739C"/>
    <w:rsid w:val="00987455"/>
    <w:rsid w:val="00987780"/>
    <w:rsid w:val="009902E7"/>
    <w:rsid w:val="00990546"/>
    <w:rsid w:val="00990E25"/>
    <w:rsid w:val="00991423"/>
    <w:rsid w:val="00992344"/>
    <w:rsid w:val="009928B5"/>
    <w:rsid w:val="00992C57"/>
    <w:rsid w:val="00993597"/>
    <w:rsid w:val="0099361F"/>
    <w:rsid w:val="00994CC6"/>
    <w:rsid w:val="00996060"/>
    <w:rsid w:val="009966BA"/>
    <w:rsid w:val="009971D9"/>
    <w:rsid w:val="009975F8"/>
    <w:rsid w:val="00997E09"/>
    <w:rsid w:val="00997E60"/>
    <w:rsid w:val="009A00FC"/>
    <w:rsid w:val="009A062B"/>
    <w:rsid w:val="009A0B16"/>
    <w:rsid w:val="009A383B"/>
    <w:rsid w:val="009A3DA7"/>
    <w:rsid w:val="009A5E16"/>
    <w:rsid w:val="009A6516"/>
    <w:rsid w:val="009A784D"/>
    <w:rsid w:val="009A7E1B"/>
    <w:rsid w:val="009B0F61"/>
    <w:rsid w:val="009B3457"/>
    <w:rsid w:val="009B5A62"/>
    <w:rsid w:val="009B6E7B"/>
    <w:rsid w:val="009B7661"/>
    <w:rsid w:val="009B7A15"/>
    <w:rsid w:val="009C0689"/>
    <w:rsid w:val="009C06EC"/>
    <w:rsid w:val="009C163A"/>
    <w:rsid w:val="009C2914"/>
    <w:rsid w:val="009C400E"/>
    <w:rsid w:val="009C47BA"/>
    <w:rsid w:val="009C5697"/>
    <w:rsid w:val="009C56AE"/>
    <w:rsid w:val="009C5B12"/>
    <w:rsid w:val="009C79CC"/>
    <w:rsid w:val="009D1150"/>
    <w:rsid w:val="009D13C5"/>
    <w:rsid w:val="009D2CBF"/>
    <w:rsid w:val="009D3F67"/>
    <w:rsid w:val="009D4786"/>
    <w:rsid w:val="009D4BAB"/>
    <w:rsid w:val="009D553E"/>
    <w:rsid w:val="009E119E"/>
    <w:rsid w:val="009E2ED8"/>
    <w:rsid w:val="009E2F5E"/>
    <w:rsid w:val="009E38FA"/>
    <w:rsid w:val="009E3A5E"/>
    <w:rsid w:val="009E41C9"/>
    <w:rsid w:val="009E4624"/>
    <w:rsid w:val="009E4CD5"/>
    <w:rsid w:val="009E4DAF"/>
    <w:rsid w:val="009E5F13"/>
    <w:rsid w:val="009E66CD"/>
    <w:rsid w:val="009E6A59"/>
    <w:rsid w:val="009E792A"/>
    <w:rsid w:val="009F03B8"/>
    <w:rsid w:val="009F1991"/>
    <w:rsid w:val="009F26F8"/>
    <w:rsid w:val="009F4448"/>
    <w:rsid w:val="009F4E03"/>
    <w:rsid w:val="009F5BF1"/>
    <w:rsid w:val="009F6DA7"/>
    <w:rsid w:val="00A01768"/>
    <w:rsid w:val="00A0237A"/>
    <w:rsid w:val="00A036C9"/>
    <w:rsid w:val="00A0412D"/>
    <w:rsid w:val="00A05372"/>
    <w:rsid w:val="00A06D75"/>
    <w:rsid w:val="00A1018F"/>
    <w:rsid w:val="00A10A3F"/>
    <w:rsid w:val="00A11692"/>
    <w:rsid w:val="00A11A17"/>
    <w:rsid w:val="00A11A69"/>
    <w:rsid w:val="00A11DE9"/>
    <w:rsid w:val="00A13A55"/>
    <w:rsid w:val="00A1441A"/>
    <w:rsid w:val="00A15141"/>
    <w:rsid w:val="00A154EA"/>
    <w:rsid w:val="00A16640"/>
    <w:rsid w:val="00A16A00"/>
    <w:rsid w:val="00A17C28"/>
    <w:rsid w:val="00A17F55"/>
    <w:rsid w:val="00A20036"/>
    <w:rsid w:val="00A203B4"/>
    <w:rsid w:val="00A20459"/>
    <w:rsid w:val="00A20B08"/>
    <w:rsid w:val="00A21268"/>
    <w:rsid w:val="00A22BBB"/>
    <w:rsid w:val="00A23C9A"/>
    <w:rsid w:val="00A243E2"/>
    <w:rsid w:val="00A258E2"/>
    <w:rsid w:val="00A25A28"/>
    <w:rsid w:val="00A2617F"/>
    <w:rsid w:val="00A27958"/>
    <w:rsid w:val="00A27A46"/>
    <w:rsid w:val="00A32FAF"/>
    <w:rsid w:val="00A3690E"/>
    <w:rsid w:val="00A40911"/>
    <w:rsid w:val="00A41036"/>
    <w:rsid w:val="00A4151A"/>
    <w:rsid w:val="00A416D5"/>
    <w:rsid w:val="00A41874"/>
    <w:rsid w:val="00A41F0A"/>
    <w:rsid w:val="00A423D3"/>
    <w:rsid w:val="00A42815"/>
    <w:rsid w:val="00A436A1"/>
    <w:rsid w:val="00A44441"/>
    <w:rsid w:val="00A447E5"/>
    <w:rsid w:val="00A4673A"/>
    <w:rsid w:val="00A473E7"/>
    <w:rsid w:val="00A50488"/>
    <w:rsid w:val="00A536C1"/>
    <w:rsid w:val="00A54105"/>
    <w:rsid w:val="00A54D3A"/>
    <w:rsid w:val="00A63845"/>
    <w:rsid w:val="00A66938"/>
    <w:rsid w:val="00A671E2"/>
    <w:rsid w:val="00A671F5"/>
    <w:rsid w:val="00A70018"/>
    <w:rsid w:val="00A70440"/>
    <w:rsid w:val="00A704A4"/>
    <w:rsid w:val="00A708F8"/>
    <w:rsid w:val="00A71292"/>
    <w:rsid w:val="00A7142D"/>
    <w:rsid w:val="00A71A99"/>
    <w:rsid w:val="00A7478A"/>
    <w:rsid w:val="00A75356"/>
    <w:rsid w:val="00A758D9"/>
    <w:rsid w:val="00A77039"/>
    <w:rsid w:val="00A7783F"/>
    <w:rsid w:val="00A806DA"/>
    <w:rsid w:val="00A807ED"/>
    <w:rsid w:val="00A80D23"/>
    <w:rsid w:val="00A81056"/>
    <w:rsid w:val="00A81108"/>
    <w:rsid w:val="00A827C0"/>
    <w:rsid w:val="00A83B2C"/>
    <w:rsid w:val="00A83CAD"/>
    <w:rsid w:val="00A843F2"/>
    <w:rsid w:val="00A84712"/>
    <w:rsid w:val="00A84B08"/>
    <w:rsid w:val="00A84F9E"/>
    <w:rsid w:val="00A861F6"/>
    <w:rsid w:val="00A877B8"/>
    <w:rsid w:val="00A87D23"/>
    <w:rsid w:val="00A914E1"/>
    <w:rsid w:val="00A91A08"/>
    <w:rsid w:val="00A93D73"/>
    <w:rsid w:val="00A93F3F"/>
    <w:rsid w:val="00A94CBD"/>
    <w:rsid w:val="00A97E8F"/>
    <w:rsid w:val="00AA01CC"/>
    <w:rsid w:val="00AA0A3C"/>
    <w:rsid w:val="00AA22BB"/>
    <w:rsid w:val="00AA2A81"/>
    <w:rsid w:val="00AA2EBC"/>
    <w:rsid w:val="00AA30D8"/>
    <w:rsid w:val="00AA3BFF"/>
    <w:rsid w:val="00AA4AD8"/>
    <w:rsid w:val="00AA4DC9"/>
    <w:rsid w:val="00AA7819"/>
    <w:rsid w:val="00AB03B7"/>
    <w:rsid w:val="00AB0AB8"/>
    <w:rsid w:val="00AB0B2D"/>
    <w:rsid w:val="00AB2D26"/>
    <w:rsid w:val="00AB46E6"/>
    <w:rsid w:val="00AB75E7"/>
    <w:rsid w:val="00AC27F9"/>
    <w:rsid w:val="00AC455A"/>
    <w:rsid w:val="00AC4E7B"/>
    <w:rsid w:val="00AC6133"/>
    <w:rsid w:val="00AC6192"/>
    <w:rsid w:val="00AD01F8"/>
    <w:rsid w:val="00AD0485"/>
    <w:rsid w:val="00AD054F"/>
    <w:rsid w:val="00AD12E4"/>
    <w:rsid w:val="00AD1461"/>
    <w:rsid w:val="00AD1511"/>
    <w:rsid w:val="00AD204D"/>
    <w:rsid w:val="00AD232D"/>
    <w:rsid w:val="00AD2B88"/>
    <w:rsid w:val="00AD3317"/>
    <w:rsid w:val="00AD351C"/>
    <w:rsid w:val="00AD4DB6"/>
    <w:rsid w:val="00AD6513"/>
    <w:rsid w:val="00AD6D99"/>
    <w:rsid w:val="00AD7F4E"/>
    <w:rsid w:val="00AE2300"/>
    <w:rsid w:val="00AE248C"/>
    <w:rsid w:val="00AE3FA1"/>
    <w:rsid w:val="00AE42C3"/>
    <w:rsid w:val="00AE59CD"/>
    <w:rsid w:val="00AE5FA9"/>
    <w:rsid w:val="00AE633C"/>
    <w:rsid w:val="00AE6F38"/>
    <w:rsid w:val="00AE732C"/>
    <w:rsid w:val="00AF4EE6"/>
    <w:rsid w:val="00AF5124"/>
    <w:rsid w:val="00AF534D"/>
    <w:rsid w:val="00AF5B45"/>
    <w:rsid w:val="00AF5E59"/>
    <w:rsid w:val="00AF71CB"/>
    <w:rsid w:val="00AF739A"/>
    <w:rsid w:val="00B001BF"/>
    <w:rsid w:val="00B0027D"/>
    <w:rsid w:val="00B004AF"/>
    <w:rsid w:val="00B007F7"/>
    <w:rsid w:val="00B0084A"/>
    <w:rsid w:val="00B016F8"/>
    <w:rsid w:val="00B020EA"/>
    <w:rsid w:val="00B02ECA"/>
    <w:rsid w:val="00B0631E"/>
    <w:rsid w:val="00B0740B"/>
    <w:rsid w:val="00B07B75"/>
    <w:rsid w:val="00B10B2C"/>
    <w:rsid w:val="00B119AE"/>
    <w:rsid w:val="00B136D2"/>
    <w:rsid w:val="00B14F10"/>
    <w:rsid w:val="00B15B9E"/>
    <w:rsid w:val="00B17752"/>
    <w:rsid w:val="00B20367"/>
    <w:rsid w:val="00B20730"/>
    <w:rsid w:val="00B20C32"/>
    <w:rsid w:val="00B210B9"/>
    <w:rsid w:val="00B2114E"/>
    <w:rsid w:val="00B21C17"/>
    <w:rsid w:val="00B240DC"/>
    <w:rsid w:val="00B24897"/>
    <w:rsid w:val="00B2494F"/>
    <w:rsid w:val="00B25AEB"/>
    <w:rsid w:val="00B26173"/>
    <w:rsid w:val="00B3197C"/>
    <w:rsid w:val="00B325A6"/>
    <w:rsid w:val="00B32D78"/>
    <w:rsid w:val="00B3363E"/>
    <w:rsid w:val="00B35960"/>
    <w:rsid w:val="00B40ADC"/>
    <w:rsid w:val="00B41B32"/>
    <w:rsid w:val="00B44CFD"/>
    <w:rsid w:val="00B457FC"/>
    <w:rsid w:val="00B458AE"/>
    <w:rsid w:val="00B45988"/>
    <w:rsid w:val="00B476AF"/>
    <w:rsid w:val="00B47864"/>
    <w:rsid w:val="00B5066F"/>
    <w:rsid w:val="00B52C6D"/>
    <w:rsid w:val="00B52CB8"/>
    <w:rsid w:val="00B530B6"/>
    <w:rsid w:val="00B53611"/>
    <w:rsid w:val="00B53C5E"/>
    <w:rsid w:val="00B54C69"/>
    <w:rsid w:val="00B566BF"/>
    <w:rsid w:val="00B56AE1"/>
    <w:rsid w:val="00B572B2"/>
    <w:rsid w:val="00B57C69"/>
    <w:rsid w:val="00B57E9D"/>
    <w:rsid w:val="00B600D2"/>
    <w:rsid w:val="00B6049D"/>
    <w:rsid w:val="00B60A26"/>
    <w:rsid w:val="00B60AAD"/>
    <w:rsid w:val="00B60C20"/>
    <w:rsid w:val="00B611AA"/>
    <w:rsid w:val="00B62948"/>
    <w:rsid w:val="00B62DA9"/>
    <w:rsid w:val="00B632E5"/>
    <w:rsid w:val="00B64039"/>
    <w:rsid w:val="00B644B0"/>
    <w:rsid w:val="00B64BE9"/>
    <w:rsid w:val="00B70042"/>
    <w:rsid w:val="00B7030D"/>
    <w:rsid w:val="00B7053F"/>
    <w:rsid w:val="00B70869"/>
    <w:rsid w:val="00B70C73"/>
    <w:rsid w:val="00B70F8C"/>
    <w:rsid w:val="00B71461"/>
    <w:rsid w:val="00B723AC"/>
    <w:rsid w:val="00B723B2"/>
    <w:rsid w:val="00B724D2"/>
    <w:rsid w:val="00B7252E"/>
    <w:rsid w:val="00B73EB3"/>
    <w:rsid w:val="00B75169"/>
    <w:rsid w:val="00B81DC6"/>
    <w:rsid w:val="00B825EC"/>
    <w:rsid w:val="00B84301"/>
    <w:rsid w:val="00B850C5"/>
    <w:rsid w:val="00B85E7C"/>
    <w:rsid w:val="00B87975"/>
    <w:rsid w:val="00B900B8"/>
    <w:rsid w:val="00B9341E"/>
    <w:rsid w:val="00B93722"/>
    <w:rsid w:val="00B94876"/>
    <w:rsid w:val="00B95CEB"/>
    <w:rsid w:val="00B95CF1"/>
    <w:rsid w:val="00B965EA"/>
    <w:rsid w:val="00BA0CAD"/>
    <w:rsid w:val="00BA0DB3"/>
    <w:rsid w:val="00BA2BD4"/>
    <w:rsid w:val="00BA39D0"/>
    <w:rsid w:val="00BA44F9"/>
    <w:rsid w:val="00BA4BF5"/>
    <w:rsid w:val="00BA5B92"/>
    <w:rsid w:val="00BA662F"/>
    <w:rsid w:val="00BB25CF"/>
    <w:rsid w:val="00BB2E77"/>
    <w:rsid w:val="00BB409B"/>
    <w:rsid w:val="00BB58E1"/>
    <w:rsid w:val="00BB5D9A"/>
    <w:rsid w:val="00BB5E0C"/>
    <w:rsid w:val="00BB5F26"/>
    <w:rsid w:val="00BB73FC"/>
    <w:rsid w:val="00BB7580"/>
    <w:rsid w:val="00BC0B15"/>
    <w:rsid w:val="00BC29DF"/>
    <w:rsid w:val="00BC30FE"/>
    <w:rsid w:val="00BC39E9"/>
    <w:rsid w:val="00BC4228"/>
    <w:rsid w:val="00BC43F8"/>
    <w:rsid w:val="00BC6C94"/>
    <w:rsid w:val="00BC765B"/>
    <w:rsid w:val="00BD036C"/>
    <w:rsid w:val="00BD07EA"/>
    <w:rsid w:val="00BD173D"/>
    <w:rsid w:val="00BD19D5"/>
    <w:rsid w:val="00BD1A1E"/>
    <w:rsid w:val="00BD25A3"/>
    <w:rsid w:val="00BD2665"/>
    <w:rsid w:val="00BD294E"/>
    <w:rsid w:val="00BD2CFD"/>
    <w:rsid w:val="00BD32A8"/>
    <w:rsid w:val="00BD32AE"/>
    <w:rsid w:val="00BD4F44"/>
    <w:rsid w:val="00BE02E4"/>
    <w:rsid w:val="00BE11A1"/>
    <w:rsid w:val="00BE2F89"/>
    <w:rsid w:val="00BE3643"/>
    <w:rsid w:val="00BE3E07"/>
    <w:rsid w:val="00BE411D"/>
    <w:rsid w:val="00BE4459"/>
    <w:rsid w:val="00BE470C"/>
    <w:rsid w:val="00BE5061"/>
    <w:rsid w:val="00BE605C"/>
    <w:rsid w:val="00BE6555"/>
    <w:rsid w:val="00BE71C5"/>
    <w:rsid w:val="00BF0950"/>
    <w:rsid w:val="00BF0BD7"/>
    <w:rsid w:val="00BF1B5E"/>
    <w:rsid w:val="00BF1D31"/>
    <w:rsid w:val="00BF1FB0"/>
    <w:rsid w:val="00BF3290"/>
    <w:rsid w:val="00BF34DD"/>
    <w:rsid w:val="00BF404C"/>
    <w:rsid w:val="00BF5404"/>
    <w:rsid w:val="00BF7E5E"/>
    <w:rsid w:val="00C0080B"/>
    <w:rsid w:val="00C00F8A"/>
    <w:rsid w:val="00C013B0"/>
    <w:rsid w:val="00C017D7"/>
    <w:rsid w:val="00C05D10"/>
    <w:rsid w:val="00C0740F"/>
    <w:rsid w:val="00C076CF"/>
    <w:rsid w:val="00C10BCA"/>
    <w:rsid w:val="00C11745"/>
    <w:rsid w:val="00C12B74"/>
    <w:rsid w:val="00C12ECE"/>
    <w:rsid w:val="00C13E8E"/>
    <w:rsid w:val="00C15695"/>
    <w:rsid w:val="00C16155"/>
    <w:rsid w:val="00C1636F"/>
    <w:rsid w:val="00C16C54"/>
    <w:rsid w:val="00C206EB"/>
    <w:rsid w:val="00C20F4C"/>
    <w:rsid w:val="00C21EEA"/>
    <w:rsid w:val="00C2264F"/>
    <w:rsid w:val="00C22F76"/>
    <w:rsid w:val="00C23B6B"/>
    <w:rsid w:val="00C23E4E"/>
    <w:rsid w:val="00C24C91"/>
    <w:rsid w:val="00C24EDD"/>
    <w:rsid w:val="00C259E7"/>
    <w:rsid w:val="00C27AE1"/>
    <w:rsid w:val="00C30303"/>
    <w:rsid w:val="00C321E4"/>
    <w:rsid w:val="00C34C2A"/>
    <w:rsid w:val="00C3706C"/>
    <w:rsid w:val="00C37BD4"/>
    <w:rsid w:val="00C40B7F"/>
    <w:rsid w:val="00C41083"/>
    <w:rsid w:val="00C426BD"/>
    <w:rsid w:val="00C42A0A"/>
    <w:rsid w:val="00C42AA8"/>
    <w:rsid w:val="00C42DD1"/>
    <w:rsid w:val="00C43C38"/>
    <w:rsid w:val="00C452ED"/>
    <w:rsid w:val="00C45B63"/>
    <w:rsid w:val="00C4658F"/>
    <w:rsid w:val="00C477EE"/>
    <w:rsid w:val="00C477F4"/>
    <w:rsid w:val="00C47C75"/>
    <w:rsid w:val="00C51097"/>
    <w:rsid w:val="00C53048"/>
    <w:rsid w:val="00C535EC"/>
    <w:rsid w:val="00C5380C"/>
    <w:rsid w:val="00C5386F"/>
    <w:rsid w:val="00C54A9E"/>
    <w:rsid w:val="00C552FD"/>
    <w:rsid w:val="00C555E2"/>
    <w:rsid w:val="00C5573E"/>
    <w:rsid w:val="00C5657A"/>
    <w:rsid w:val="00C56607"/>
    <w:rsid w:val="00C578DF"/>
    <w:rsid w:val="00C57D03"/>
    <w:rsid w:val="00C6072B"/>
    <w:rsid w:val="00C63165"/>
    <w:rsid w:val="00C650C3"/>
    <w:rsid w:val="00C6589C"/>
    <w:rsid w:val="00C65DA3"/>
    <w:rsid w:val="00C7029B"/>
    <w:rsid w:val="00C70BB2"/>
    <w:rsid w:val="00C713F0"/>
    <w:rsid w:val="00C73CDF"/>
    <w:rsid w:val="00C73E7B"/>
    <w:rsid w:val="00C755C3"/>
    <w:rsid w:val="00C76422"/>
    <w:rsid w:val="00C76F4D"/>
    <w:rsid w:val="00C77F74"/>
    <w:rsid w:val="00C80FF8"/>
    <w:rsid w:val="00C81EB0"/>
    <w:rsid w:val="00C83887"/>
    <w:rsid w:val="00C8415D"/>
    <w:rsid w:val="00C844A3"/>
    <w:rsid w:val="00C84D6F"/>
    <w:rsid w:val="00C859B1"/>
    <w:rsid w:val="00C85EF6"/>
    <w:rsid w:val="00C868A0"/>
    <w:rsid w:val="00C90995"/>
    <w:rsid w:val="00C91ED4"/>
    <w:rsid w:val="00C93967"/>
    <w:rsid w:val="00C94664"/>
    <w:rsid w:val="00C94766"/>
    <w:rsid w:val="00C94DF6"/>
    <w:rsid w:val="00C94F61"/>
    <w:rsid w:val="00C9750B"/>
    <w:rsid w:val="00C9781D"/>
    <w:rsid w:val="00C97D1D"/>
    <w:rsid w:val="00CA03A3"/>
    <w:rsid w:val="00CA0823"/>
    <w:rsid w:val="00CA1EA3"/>
    <w:rsid w:val="00CA40AF"/>
    <w:rsid w:val="00CA424A"/>
    <w:rsid w:val="00CA6479"/>
    <w:rsid w:val="00CA7B0A"/>
    <w:rsid w:val="00CB0D1A"/>
    <w:rsid w:val="00CB29BA"/>
    <w:rsid w:val="00CB6B48"/>
    <w:rsid w:val="00CB7506"/>
    <w:rsid w:val="00CB7B7F"/>
    <w:rsid w:val="00CC082E"/>
    <w:rsid w:val="00CC0B40"/>
    <w:rsid w:val="00CC11F7"/>
    <w:rsid w:val="00CC20D6"/>
    <w:rsid w:val="00CC29A7"/>
    <w:rsid w:val="00CC45B3"/>
    <w:rsid w:val="00CC4871"/>
    <w:rsid w:val="00CC6893"/>
    <w:rsid w:val="00CC7364"/>
    <w:rsid w:val="00CD0219"/>
    <w:rsid w:val="00CD13EA"/>
    <w:rsid w:val="00CD14D5"/>
    <w:rsid w:val="00CD18F4"/>
    <w:rsid w:val="00CD1B72"/>
    <w:rsid w:val="00CD1E10"/>
    <w:rsid w:val="00CD21BA"/>
    <w:rsid w:val="00CD2387"/>
    <w:rsid w:val="00CD27BA"/>
    <w:rsid w:val="00CD4515"/>
    <w:rsid w:val="00CD51E6"/>
    <w:rsid w:val="00CE0BF4"/>
    <w:rsid w:val="00CE23CC"/>
    <w:rsid w:val="00CE2816"/>
    <w:rsid w:val="00CE2884"/>
    <w:rsid w:val="00CE4251"/>
    <w:rsid w:val="00CE445C"/>
    <w:rsid w:val="00CE531F"/>
    <w:rsid w:val="00CE64DD"/>
    <w:rsid w:val="00CE6C67"/>
    <w:rsid w:val="00CF10F6"/>
    <w:rsid w:val="00CF1205"/>
    <w:rsid w:val="00CF12A8"/>
    <w:rsid w:val="00CF29B7"/>
    <w:rsid w:val="00CF4344"/>
    <w:rsid w:val="00D0006E"/>
    <w:rsid w:val="00D00AD4"/>
    <w:rsid w:val="00D00B0B"/>
    <w:rsid w:val="00D033EE"/>
    <w:rsid w:val="00D03675"/>
    <w:rsid w:val="00D0390D"/>
    <w:rsid w:val="00D04665"/>
    <w:rsid w:val="00D04A43"/>
    <w:rsid w:val="00D10B7F"/>
    <w:rsid w:val="00D12794"/>
    <w:rsid w:val="00D129FE"/>
    <w:rsid w:val="00D133BE"/>
    <w:rsid w:val="00D152EE"/>
    <w:rsid w:val="00D16659"/>
    <w:rsid w:val="00D16C39"/>
    <w:rsid w:val="00D205D0"/>
    <w:rsid w:val="00D20B81"/>
    <w:rsid w:val="00D218E8"/>
    <w:rsid w:val="00D219F7"/>
    <w:rsid w:val="00D23605"/>
    <w:rsid w:val="00D24D2E"/>
    <w:rsid w:val="00D24FB6"/>
    <w:rsid w:val="00D25B63"/>
    <w:rsid w:val="00D25BCB"/>
    <w:rsid w:val="00D25F2B"/>
    <w:rsid w:val="00D26429"/>
    <w:rsid w:val="00D27291"/>
    <w:rsid w:val="00D274B8"/>
    <w:rsid w:val="00D2C9C8"/>
    <w:rsid w:val="00D31F40"/>
    <w:rsid w:val="00D339BC"/>
    <w:rsid w:val="00D33AFC"/>
    <w:rsid w:val="00D33D54"/>
    <w:rsid w:val="00D3470A"/>
    <w:rsid w:val="00D36909"/>
    <w:rsid w:val="00D41B31"/>
    <w:rsid w:val="00D4265E"/>
    <w:rsid w:val="00D428A3"/>
    <w:rsid w:val="00D444E0"/>
    <w:rsid w:val="00D454C6"/>
    <w:rsid w:val="00D465E3"/>
    <w:rsid w:val="00D50021"/>
    <w:rsid w:val="00D5104D"/>
    <w:rsid w:val="00D51FA6"/>
    <w:rsid w:val="00D52527"/>
    <w:rsid w:val="00D52F3C"/>
    <w:rsid w:val="00D5325A"/>
    <w:rsid w:val="00D5406D"/>
    <w:rsid w:val="00D5681C"/>
    <w:rsid w:val="00D606F0"/>
    <w:rsid w:val="00D60FE0"/>
    <w:rsid w:val="00D623D1"/>
    <w:rsid w:val="00D64182"/>
    <w:rsid w:val="00D64E60"/>
    <w:rsid w:val="00D66136"/>
    <w:rsid w:val="00D668FE"/>
    <w:rsid w:val="00D704BD"/>
    <w:rsid w:val="00D70686"/>
    <w:rsid w:val="00D72465"/>
    <w:rsid w:val="00D74EC3"/>
    <w:rsid w:val="00D75294"/>
    <w:rsid w:val="00D76F3F"/>
    <w:rsid w:val="00D7765F"/>
    <w:rsid w:val="00D80862"/>
    <w:rsid w:val="00D817CE"/>
    <w:rsid w:val="00D827A6"/>
    <w:rsid w:val="00D8281D"/>
    <w:rsid w:val="00D82FB6"/>
    <w:rsid w:val="00D839BE"/>
    <w:rsid w:val="00D84D89"/>
    <w:rsid w:val="00D85187"/>
    <w:rsid w:val="00D85467"/>
    <w:rsid w:val="00D85BA4"/>
    <w:rsid w:val="00D86203"/>
    <w:rsid w:val="00D867FA"/>
    <w:rsid w:val="00D86C0B"/>
    <w:rsid w:val="00D87288"/>
    <w:rsid w:val="00D872D8"/>
    <w:rsid w:val="00D9004A"/>
    <w:rsid w:val="00D90878"/>
    <w:rsid w:val="00D920FF"/>
    <w:rsid w:val="00D94904"/>
    <w:rsid w:val="00D96B54"/>
    <w:rsid w:val="00D97DE6"/>
    <w:rsid w:val="00DA0132"/>
    <w:rsid w:val="00DA13F2"/>
    <w:rsid w:val="00DA166E"/>
    <w:rsid w:val="00DA1791"/>
    <w:rsid w:val="00DA2729"/>
    <w:rsid w:val="00DA3404"/>
    <w:rsid w:val="00DA3CDC"/>
    <w:rsid w:val="00DA4143"/>
    <w:rsid w:val="00DA516B"/>
    <w:rsid w:val="00DA6071"/>
    <w:rsid w:val="00DA60BB"/>
    <w:rsid w:val="00DA6885"/>
    <w:rsid w:val="00DA69AC"/>
    <w:rsid w:val="00DA74D8"/>
    <w:rsid w:val="00DA78A6"/>
    <w:rsid w:val="00DA7FB4"/>
    <w:rsid w:val="00DB1B86"/>
    <w:rsid w:val="00DB41B8"/>
    <w:rsid w:val="00DB615E"/>
    <w:rsid w:val="00DB64C0"/>
    <w:rsid w:val="00DB7901"/>
    <w:rsid w:val="00DC0D3C"/>
    <w:rsid w:val="00DC1E09"/>
    <w:rsid w:val="00DC1FA3"/>
    <w:rsid w:val="00DC3675"/>
    <w:rsid w:val="00DC4309"/>
    <w:rsid w:val="00DC6EE1"/>
    <w:rsid w:val="00DC74C7"/>
    <w:rsid w:val="00DD07C4"/>
    <w:rsid w:val="00DD0C06"/>
    <w:rsid w:val="00DD0D71"/>
    <w:rsid w:val="00DD1436"/>
    <w:rsid w:val="00DD1E2C"/>
    <w:rsid w:val="00DD2455"/>
    <w:rsid w:val="00DD28B9"/>
    <w:rsid w:val="00DD2C9D"/>
    <w:rsid w:val="00DD2E36"/>
    <w:rsid w:val="00DD3CD0"/>
    <w:rsid w:val="00DD568A"/>
    <w:rsid w:val="00DD5D5A"/>
    <w:rsid w:val="00DD7838"/>
    <w:rsid w:val="00DE1A6C"/>
    <w:rsid w:val="00DE2260"/>
    <w:rsid w:val="00DE2898"/>
    <w:rsid w:val="00DE503F"/>
    <w:rsid w:val="00DE617D"/>
    <w:rsid w:val="00DF0059"/>
    <w:rsid w:val="00DF02C4"/>
    <w:rsid w:val="00DF0A9F"/>
    <w:rsid w:val="00DF1522"/>
    <w:rsid w:val="00DF2CEC"/>
    <w:rsid w:val="00DF2F75"/>
    <w:rsid w:val="00DF46C5"/>
    <w:rsid w:val="00DF4D9D"/>
    <w:rsid w:val="00DF5039"/>
    <w:rsid w:val="00DF6380"/>
    <w:rsid w:val="00DF6558"/>
    <w:rsid w:val="00DF70EC"/>
    <w:rsid w:val="00DF75EA"/>
    <w:rsid w:val="00DF79A7"/>
    <w:rsid w:val="00E0059A"/>
    <w:rsid w:val="00E0125C"/>
    <w:rsid w:val="00E019E1"/>
    <w:rsid w:val="00E01CC4"/>
    <w:rsid w:val="00E01D46"/>
    <w:rsid w:val="00E028AC"/>
    <w:rsid w:val="00E029D1"/>
    <w:rsid w:val="00E02E7A"/>
    <w:rsid w:val="00E043BB"/>
    <w:rsid w:val="00E048EE"/>
    <w:rsid w:val="00E04E08"/>
    <w:rsid w:val="00E064A1"/>
    <w:rsid w:val="00E07DA7"/>
    <w:rsid w:val="00E07DFE"/>
    <w:rsid w:val="00E10CBC"/>
    <w:rsid w:val="00E14E0F"/>
    <w:rsid w:val="00E174C5"/>
    <w:rsid w:val="00E2021A"/>
    <w:rsid w:val="00E20A59"/>
    <w:rsid w:val="00E20A6A"/>
    <w:rsid w:val="00E21740"/>
    <w:rsid w:val="00E22095"/>
    <w:rsid w:val="00E239AB"/>
    <w:rsid w:val="00E23CBE"/>
    <w:rsid w:val="00E24BF2"/>
    <w:rsid w:val="00E270B5"/>
    <w:rsid w:val="00E3074F"/>
    <w:rsid w:val="00E30D3E"/>
    <w:rsid w:val="00E311C3"/>
    <w:rsid w:val="00E31859"/>
    <w:rsid w:val="00E32E18"/>
    <w:rsid w:val="00E3412F"/>
    <w:rsid w:val="00E34C8F"/>
    <w:rsid w:val="00E35C65"/>
    <w:rsid w:val="00E36620"/>
    <w:rsid w:val="00E37A64"/>
    <w:rsid w:val="00E4016F"/>
    <w:rsid w:val="00E406E6"/>
    <w:rsid w:val="00E41041"/>
    <w:rsid w:val="00E419F3"/>
    <w:rsid w:val="00E424DE"/>
    <w:rsid w:val="00E43705"/>
    <w:rsid w:val="00E43CC3"/>
    <w:rsid w:val="00E46C07"/>
    <w:rsid w:val="00E46D18"/>
    <w:rsid w:val="00E5050A"/>
    <w:rsid w:val="00E50644"/>
    <w:rsid w:val="00E50F12"/>
    <w:rsid w:val="00E513D2"/>
    <w:rsid w:val="00E5248A"/>
    <w:rsid w:val="00E52B72"/>
    <w:rsid w:val="00E53D06"/>
    <w:rsid w:val="00E5499D"/>
    <w:rsid w:val="00E55B4B"/>
    <w:rsid w:val="00E5657C"/>
    <w:rsid w:val="00E565AA"/>
    <w:rsid w:val="00E56EDF"/>
    <w:rsid w:val="00E57C8F"/>
    <w:rsid w:val="00E600EB"/>
    <w:rsid w:val="00E6210D"/>
    <w:rsid w:val="00E62F42"/>
    <w:rsid w:val="00E634BD"/>
    <w:rsid w:val="00E6367C"/>
    <w:rsid w:val="00E641DE"/>
    <w:rsid w:val="00E64AA6"/>
    <w:rsid w:val="00E66353"/>
    <w:rsid w:val="00E67314"/>
    <w:rsid w:val="00E67EB3"/>
    <w:rsid w:val="00E70AAE"/>
    <w:rsid w:val="00E70F03"/>
    <w:rsid w:val="00E73CB9"/>
    <w:rsid w:val="00E73E03"/>
    <w:rsid w:val="00E75A1F"/>
    <w:rsid w:val="00E7680E"/>
    <w:rsid w:val="00E816E8"/>
    <w:rsid w:val="00E81C53"/>
    <w:rsid w:val="00E83511"/>
    <w:rsid w:val="00E83523"/>
    <w:rsid w:val="00E83A29"/>
    <w:rsid w:val="00E8479D"/>
    <w:rsid w:val="00E857A8"/>
    <w:rsid w:val="00E8646A"/>
    <w:rsid w:val="00E92D8C"/>
    <w:rsid w:val="00E93FF9"/>
    <w:rsid w:val="00E94160"/>
    <w:rsid w:val="00E95EA3"/>
    <w:rsid w:val="00E95F59"/>
    <w:rsid w:val="00EA4A10"/>
    <w:rsid w:val="00EA6AB5"/>
    <w:rsid w:val="00EA74E7"/>
    <w:rsid w:val="00EB22B5"/>
    <w:rsid w:val="00EB25E4"/>
    <w:rsid w:val="00EB37BA"/>
    <w:rsid w:val="00EB3809"/>
    <w:rsid w:val="00EB4945"/>
    <w:rsid w:val="00EB5801"/>
    <w:rsid w:val="00EB583B"/>
    <w:rsid w:val="00EB6122"/>
    <w:rsid w:val="00EB6EBA"/>
    <w:rsid w:val="00EB6F2F"/>
    <w:rsid w:val="00EB7158"/>
    <w:rsid w:val="00EC0884"/>
    <w:rsid w:val="00EC0DC5"/>
    <w:rsid w:val="00EC194D"/>
    <w:rsid w:val="00EC4A63"/>
    <w:rsid w:val="00EC4B3E"/>
    <w:rsid w:val="00EC5ACA"/>
    <w:rsid w:val="00EC640D"/>
    <w:rsid w:val="00EC64F2"/>
    <w:rsid w:val="00ED0EE9"/>
    <w:rsid w:val="00ED0F37"/>
    <w:rsid w:val="00ED17D7"/>
    <w:rsid w:val="00ED1EE5"/>
    <w:rsid w:val="00ED38C0"/>
    <w:rsid w:val="00ED438E"/>
    <w:rsid w:val="00ED54A0"/>
    <w:rsid w:val="00ED5F62"/>
    <w:rsid w:val="00ED67BC"/>
    <w:rsid w:val="00EE06AA"/>
    <w:rsid w:val="00EE09F6"/>
    <w:rsid w:val="00EE3267"/>
    <w:rsid w:val="00EE3519"/>
    <w:rsid w:val="00EE3D2B"/>
    <w:rsid w:val="00EE4E75"/>
    <w:rsid w:val="00EE5AB7"/>
    <w:rsid w:val="00EF06B8"/>
    <w:rsid w:val="00EF2118"/>
    <w:rsid w:val="00EF292A"/>
    <w:rsid w:val="00EF3DEC"/>
    <w:rsid w:val="00EF3F47"/>
    <w:rsid w:val="00EF55EF"/>
    <w:rsid w:val="00EF5AFF"/>
    <w:rsid w:val="00EF68E5"/>
    <w:rsid w:val="00EF7053"/>
    <w:rsid w:val="00EF7694"/>
    <w:rsid w:val="00F0096E"/>
    <w:rsid w:val="00F009A3"/>
    <w:rsid w:val="00F02A59"/>
    <w:rsid w:val="00F02C99"/>
    <w:rsid w:val="00F0348C"/>
    <w:rsid w:val="00F03CA8"/>
    <w:rsid w:val="00F04981"/>
    <w:rsid w:val="00F04F8A"/>
    <w:rsid w:val="00F06045"/>
    <w:rsid w:val="00F06DE8"/>
    <w:rsid w:val="00F06EA7"/>
    <w:rsid w:val="00F10D22"/>
    <w:rsid w:val="00F11113"/>
    <w:rsid w:val="00F13325"/>
    <w:rsid w:val="00F1334F"/>
    <w:rsid w:val="00F13409"/>
    <w:rsid w:val="00F13D84"/>
    <w:rsid w:val="00F14473"/>
    <w:rsid w:val="00F14CEC"/>
    <w:rsid w:val="00F14DFD"/>
    <w:rsid w:val="00F16209"/>
    <w:rsid w:val="00F16735"/>
    <w:rsid w:val="00F16EBC"/>
    <w:rsid w:val="00F17078"/>
    <w:rsid w:val="00F17FD7"/>
    <w:rsid w:val="00F21C1D"/>
    <w:rsid w:val="00F21DC9"/>
    <w:rsid w:val="00F235CB"/>
    <w:rsid w:val="00F23882"/>
    <w:rsid w:val="00F240E4"/>
    <w:rsid w:val="00F245DA"/>
    <w:rsid w:val="00F26526"/>
    <w:rsid w:val="00F268AA"/>
    <w:rsid w:val="00F277DE"/>
    <w:rsid w:val="00F32EA0"/>
    <w:rsid w:val="00F334E1"/>
    <w:rsid w:val="00F34B16"/>
    <w:rsid w:val="00F35DE0"/>
    <w:rsid w:val="00F36776"/>
    <w:rsid w:val="00F37297"/>
    <w:rsid w:val="00F3788B"/>
    <w:rsid w:val="00F413B9"/>
    <w:rsid w:val="00F4224B"/>
    <w:rsid w:val="00F4387D"/>
    <w:rsid w:val="00F4428F"/>
    <w:rsid w:val="00F4596B"/>
    <w:rsid w:val="00F45CCD"/>
    <w:rsid w:val="00F47C3C"/>
    <w:rsid w:val="00F503A4"/>
    <w:rsid w:val="00F51C69"/>
    <w:rsid w:val="00F51DFC"/>
    <w:rsid w:val="00F51EE6"/>
    <w:rsid w:val="00F55A7B"/>
    <w:rsid w:val="00F55DF3"/>
    <w:rsid w:val="00F57581"/>
    <w:rsid w:val="00F626F7"/>
    <w:rsid w:val="00F62A9C"/>
    <w:rsid w:val="00F6380D"/>
    <w:rsid w:val="00F648A4"/>
    <w:rsid w:val="00F65874"/>
    <w:rsid w:val="00F65C55"/>
    <w:rsid w:val="00F65F98"/>
    <w:rsid w:val="00F66A41"/>
    <w:rsid w:val="00F67CE3"/>
    <w:rsid w:val="00F723B7"/>
    <w:rsid w:val="00F73071"/>
    <w:rsid w:val="00F764A0"/>
    <w:rsid w:val="00F776A9"/>
    <w:rsid w:val="00F77885"/>
    <w:rsid w:val="00F77CBF"/>
    <w:rsid w:val="00F809CA"/>
    <w:rsid w:val="00F81FC9"/>
    <w:rsid w:val="00F82E80"/>
    <w:rsid w:val="00F832B7"/>
    <w:rsid w:val="00F83C3C"/>
    <w:rsid w:val="00F83C78"/>
    <w:rsid w:val="00F83F6B"/>
    <w:rsid w:val="00F857EF"/>
    <w:rsid w:val="00F85DEB"/>
    <w:rsid w:val="00F8674F"/>
    <w:rsid w:val="00F8716B"/>
    <w:rsid w:val="00F92CFA"/>
    <w:rsid w:val="00F94090"/>
    <w:rsid w:val="00F94F30"/>
    <w:rsid w:val="00F95CA3"/>
    <w:rsid w:val="00F9683C"/>
    <w:rsid w:val="00F97A67"/>
    <w:rsid w:val="00F97A89"/>
    <w:rsid w:val="00FA23D0"/>
    <w:rsid w:val="00FA2F28"/>
    <w:rsid w:val="00FB10E2"/>
    <w:rsid w:val="00FB19A0"/>
    <w:rsid w:val="00FB35FA"/>
    <w:rsid w:val="00FB3656"/>
    <w:rsid w:val="00FB471A"/>
    <w:rsid w:val="00FB4BA6"/>
    <w:rsid w:val="00FB5B0E"/>
    <w:rsid w:val="00FB7110"/>
    <w:rsid w:val="00FB71BE"/>
    <w:rsid w:val="00FC0EEC"/>
    <w:rsid w:val="00FC3395"/>
    <w:rsid w:val="00FC6500"/>
    <w:rsid w:val="00FD017A"/>
    <w:rsid w:val="00FD04D2"/>
    <w:rsid w:val="00FD1388"/>
    <w:rsid w:val="00FD257A"/>
    <w:rsid w:val="00FD2AD9"/>
    <w:rsid w:val="00FD3BF3"/>
    <w:rsid w:val="00FD3CE1"/>
    <w:rsid w:val="00FD45A5"/>
    <w:rsid w:val="00FD47C6"/>
    <w:rsid w:val="00FD5D9E"/>
    <w:rsid w:val="00FD703F"/>
    <w:rsid w:val="00FE0C46"/>
    <w:rsid w:val="00FE0D6C"/>
    <w:rsid w:val="00FE1D9A"/>
    <w:rsid w:val="00FE2FC3"/>
    <w:rsid w:val="00FE4AD7"/>
    <w:rsid w:val="00FE5B4C"/>
    <w:rsid w:val="00FF084C"/>
    <w:rsid w:val="00FF1A86"/>
    <w:rsid w:val="00FF491D"/>
    <w:rsid w:val="00FF5B00"/>
    <w:rsid w:val="00FF5F89"/>
    <w:rsid w:val="00FF753A"/>
    <w:rsid w:val="010ABDFA"/>
    <w:rsid w:val="012D062F"/>
    <w:rsid w:val="0139AD47"/>
    <w:rsid w:val="015349B8"/>
    <w:rsid w:val="0175A31F"/>
    <w:rsid w:val="02144803"/>
    <w:rsid w:val="0216B476"/>
    <w:rsid w:val="02489379"/>
    <w:rsid w:val="025474D6"/>
    <w:rsid w:val="031E44A2"/>
    <w:rsid w:val="032517AA"/>
    <w:rsid w:val="033BA556"/>
    <w:rsid w:val="0392027D"/>
    <w:rsid w:val="039699EF"/>
    <w:rsid w:val="03BD39F6"/>
    <w:rsid w:val="03D0F566"/>
    <w:rsid w:val="03E59FA0"/>
    <w:rsid w:val="03E869DF"/>
    <w:rsid w:val="04131DA9"/>
    <w:rsid w:val="04216287"/>
    <w:rsid w:val="0475002E"/>
    <w:rsid w:val="052D4C73"/>
    <w:rsid w:val="052F80DE"/>
    <w:rsid w:val="053117C1"/>
    <w:rsid w:val="05407AC6"/>
    <w:rsid w:val="057DD625"/>
    <w:rsid w:val="05A21DAF"/>
    <w:rsid w:val="05EB6687"/>
    <w:rsid w:val="06564843"/>
    <w:rsid w:val="0679BFB7"/>
    <w:rsid w:val="06D7D758"/>
    <w:rsid w:val="075DFFF0"/>
    <w:rsid w:val="084F67C6"/>
    <w:rsid w:val="0862C84A"/>
    <w:rsid w:val="08674306"/>
    <w:rsid w:val="0870C2C9"/>
    <w:rsid w:val="089C2C31"/>
    <w:rsid w:val="08A29ABF"/>
    <w:rsid w:val="0931A2F7"/>
    <w:rsid w:val="0958FDC0"/>
    <w:rsid w:val="096ED429"/>
    <w:rsid w:val="0974A7AB"/>
    <w:rsid w:val="09C1FA1C"/>
    <w:rsid w:val="09CECF49"/>
    <w:rsid w:val="09EE8D2A"/>
    <w:rsid w:val="0A1D8776"/>
    <w:rsid w:val="0A55D25C"/>
    <w:rsid w:val="0A5E4928"/>
    <w:rsid w:val="0A871DDC"/>
    <w:rsid w:val="0B1024AF"/>
    <w:rsid w:val="0B1AF27C"/>
    <w:rsid w:val="0B331450"/>
    <w:rsid w:val="0B85FEBC"/>
    <w:rsid w:val="0B98D969"/>
    <w:rsid w:val="0BB1296C"/>
    <w:rsid w:val="0BB446A9"/>
    <w:rsid w:val="0BBCD903"/>
    <w:rsid w:val="0C1334CE"/>
    <w:rsid w:val="0C68103A"/>
    <w:rsid w:val="0C829CC9"/>
    <w:rsid w:val="0C84F111"/>
    <w:rsid w:val="0C98CDEB"/>
    <w:rsid w:val="0CD4AED8"/>
    <w:rsid w:val="0CED9CB6"/>
    <w:rsid w:val="0D334B70"/>
    <w:rsid w:val="0D8DE300"/>
    <w:rsid w:val="0E3257C9"/>
    <w:rsid w:val="0F106776"/>
    <w:rsid w:val="0F5636CB"/>
    <w:rsid w:val="0FD70D91"/>
    <w:rsid w:val="1032F9EC"/>
    <w:rsid w:val="10650CBC"/>
    <w:rsid w:val="107E17A1"/>
    <w:rsid w:val="10A961C4"/>
    <w:rsid w:val="1113E78D"/>
    <w:rsid w:val="1184F5A7"/>
    <w:rsid w:val="1186AC9A"/>
    <w:rsid w:val="1190C683"/>
    <w:rsid w:val="1210287C"/>
    <w:rsid w:val="1216D82F"/>
    <w:rsid w:val="121C9088"/>
    <w:rsid w:val="12619A76"/>
    <w:rsid w:val="12EEA1CD"/>
    <w:rsid w:val="1318C349"/>
    <w:rsid w:val="13497761"/>
    <w:rsid w:val="1353B3C5"/>
    <w:rsid w:val="1353F250"/>
    <w:rsid w:val="1364588D"/>
    <w:rsid w:val="1397AE3F"/>
    <w:rsid w:val="13C6B323"/>
    <w:rsid w:val="1405402E"/>
    <w:rsid w:val="14701A88"/>
    <w:rsid w:val="14873C26"/>
    <w:rsid w:val="14ABBBE3"/>
    <w:rsid w:val="14E4CE9E"/>
    <w:rsid w:val="15B1C089"/>
    <w:rsid w:val="161729F9"/>
    <w:rsid w:val="1621B878"/>
    <w:rsid w:val="164EA0C6"/>
    <w:rsid w:val="1655A8BE"/>
    <w:rsid w:val="16CA205C"/>
    <w:rsid w:val="170268E3"/>
    <w:rsid w:val="17327F9D"/>
    <w:rsid w:val="17B04CBB"/>
    <w:rsid w:val="17E853EE"/>
    <w:rsid w:val="17F0FCFF"/>
    <w:rsid w:val="18C947DF"/>
    <w:rsid w:val="18F623FE"/>
    <w:rsid w:val="191F62EB"/>
    <w:rsid w:val="19473351"/>
    <w:rsid w:val="1972F238"/>
    <w:rsid w:val="198E63EA"/>
    <w:rsid w:val="19A9106D"/>
    <w:rsid w:val="19D26323"/>
    <w:rsid w:val="1A4AB74D"/>
    <w:rsid w:val="1A8CC578"/>
    <w:rsid w:val="1AAF5F1F"/>
    <w:rsid w:val="1AB63534"/>
    <w:rsid w:val="1ABC4871"/>
    <w:rsid w:val="1AE973D1"/>
    <w:rsid w:val="1B208003"/>
    <w:rsid w:val="1B7383E3"/>
    <w:rsid w:val="1BD95AD3"/>
    <w:rsid w:val="1BF142A9"/>
    <w:rsid w:val="1BF6D545"/>
    <w:rsid w:val="1C0BCA35"/>
    <w:rsid w:val="1C5266DF"/>
    <w:rsid w:val="1CA02FD0"/>
    <w:rsid w:val="1CA9E77B"/>
    <w:rsid w:val="1CBB176B"/>
    <w:rsid w:val="1D296605"/>
    <w:rsid w:val="1DFA4223"/>
    <w:rsid w:val="1E253928"/>
    <w:rsid w:val="1E4EF9B3"/>
    <w:rsid w:val="1F282AB3"/>
    <w:rsid w:val="1F47264E"/>
    <w:rsid w:val="1F51D012"/>
    <w:rsid w:val="1F5BFC7F"/>
    <w:rsid w:val="1F6EB772"/>
    <w:rsid w:val="1FA11034"/>
    <w:rsid w:val="1FA25775"/>
    <w:rsid w:val="1FBBB48F"/>
    <w:rsid w:val="1FFD37B0"/>
    <w:rsid w:val="200D6D40"/>
    <w:rsid w:val="21165193"/>
    <w:rsid w:val="2176AEE8"/>
    <w:rsid w:val="21793D71"/>
    <w:rsid w:val="21ADD1B9"/>
    <w:rsid w:val="21B80398"/>
    <w:rsid w:val="21C5FF54"/>
    <w:rsid w:val="21FF9394"/>
    <w:rsid w:val="22173075"/>
    <w:rsid w:val="223CE0A9"/>
    <w:rsid w:val="2253F725"/>
    <w:rsid w:val="22B723FA"/>
    <w:rsid w:val="23094AD6"/>
    <w:rsid w:val="2343E31B"/>
    <w:rsid w:val="236DAB0B"/>
    <w:rsid w:val="246FA107"/>
    <w:rsid w:val="24E2CDAE"/>
    <w:rsid w:val="2501433B"/>
    <w:rsid w:val="2516EDA6"/>
    <w:rsid w:val="25CF3B36"/>
    <w:rsid w:val="25ECC0E3"/>
    <w:rsid w:val="260F9BCB"/>
    <w:rsid w:val="26601720"/>
    <w:rsid w:val="26611CF0"/>
    <w:rsid w:val="266CF310"/>
    <w:rsid w:val="267A873E"/>
    <w:rsid w:val="27BDF880"/>
    <w:rsid w:val="27CE80B2"/>
    <w:rsid w:val="27F395F8"/>
    <w:rsid w:val="281DF6CF"/>
    <w:rsid w:val="28324B63"/>
    <w:rsid w:val="283851A6"/>
    <w:rsid w:val="2858C1C5"/>
    <w:rsid w:val="28A14FD7"/>
    <w:rsid w:val="292A4A17"/>
    <w:rsid w:val="2945173A"/>
    <w:rsid w:val="29BC255F"/>
    <w:rsid w:val="29C30DBF"/>
    <w:rsid w:val="2A18BF1D"/>
    <w:rsid w:val="2A42A482"/>
    <w:rsid w:val="2A5912C2"/>
    <w:rsid w:val="2A78C65D"/>
    <w:rsid w:val="2AD3C141"/>
    <w:rsid w:val="2AE0D125"/>
    <w:rsid w:val="2AF4A64E"/>
    <w:rsid w:val="2B50D519"/>
    <w:rsid w:val="2BABB95A"/>
    <w:rsid w:val="2BD44036"/>
    <w:rsid w:val="2BE0F2F7"/>
    <w:rsid w:val="2BE32B5E"/>
    <w:rsid w:val="2C0B8258"/>
    <w:rsid w:val="2C3F8B4B"/>
    <w:rsid w:val="2C56AD37"/>
    <w:rsid w:val="2C655541"/>
    <w:rsid w:val="2C75756D"/>
    <w:rsid w:val="2C841BED"/>
    <w:rsid w:val="2CBAD2E7"/>
    <w:rsid w:val="2D1FB2D7"/>
    <w:rsid w:val="2D8BB4B3"/>
    <w:rsid w:val="2DE68A66"/>
    <w:rsid w:val="2DEB5183"/>
    <w:rsid w:val="2E236D76"/>
    <w:rsid w:val="2E49C4B7"/>
    <w:rsid w:val="2E57F9E1"/>
    <w:rsid w:val="2E914F08"/>
    <w:rsid w:val="2EA9E2B1"/>
    <w:rsid w:val="2EB41152"/>
    <w:rsid w:val="2ECFF418"/>
    <w:rsid w:val="2EF0071F"/>
    <w:rsid w:val="2EF0DBE6"/>
    <w:rsid w:val="2F10B4FD"/>
    <w:rsid w:val="2F6504CF"/>
    <w:rsid w:val="2F8FA500"/>
    <w:rsid w:val="2FC1AB7B"/>
    <w:rsid w:val="309DC881"/>
    <w:rsid w:val="30A30414"/>
    <w:rsid w:val="3155D14A"/>
    <w:rsid w:val="3168FF24"/>
    <w:rsid w:val="3171A99A"/>
    <w:rsid w:val="317C6D7B"/>
    <w:rsid w:val="32814827"/>
    <w:rsid w:val="339E2928"/>
    <w:rsid w:val="33A2CB80"/>
    <w:rsid w:val="344CD934"/>
    <w:rsid w:val="345D0ACE"/>
    <w:rsid w:val="348E6710"/>
    <w:rsid w:val="34AC4223"/>
    <w:rsid w:val="355D6C58"/>
    <w:rsid w:val="358AA221"/>
    <w:rsid w:val="359109C1"/>
    <w:rsid w:val="35D9C22C"/>
    <w:rsid w:val="35F15C76"/>
    <w:rsid w:val="36020BB3"/>
    <w:rsid w:val="3622CD63"/>
    <w:rsid w:val="3685C35B"/>
    <w:rsid w:val="36A3759A"/>
    <w:rsid w:val="3717ECE8"/>
    <w:rsid w:val="37CF4942"/>
    <w:rsid w:val="3808B649"/>
    <w:rsid w:val="382165BE"/>
    <w:rsid w:val="3874B0A9"/>
    <w:rsid w:val="388AB511"/>
    <w:rsid w:val="3890799E"/>
    <w:rsid w:val="38A9DCEC"/>
    <w:rsid w:val="38CE3BCA"/>
    <w:rsid w:val="390F61AF"/>
    <w:rsid w:val="39353626"/>
    <w:rsid w:val="3961040F"/>
    <w:rsid w:val="3970D7D5"/>
    <w:rsid w:val="3A9B895F"/>
    <w:rsid w:val="3AD86D3B"/>
    <w:rsid w:val="3B606B4D"/>
    <w:rsid w:val="3B8FFC17"/>
    <w:rsid w:val="3BB02DA3"/>
    <w:rsid w:val="3BCF074B"/>
    <w:rsid w:val="3BFA1A58"/>
    <w:rsid w:val="3C20900F"/>
    <w:rsid w:val="3CB2903C"/>
    <w:rsid w:val="3CDCAD67"/>
    <w:rsid w:val="3D1F3C56"/>
    <w:rsid w:val="3D202FAB"/>
    <w:rsid w:val="3D427295"/>
    <w:rsid w:val="3D484E93"/>
    <w:rsid w:val="3D6C43CE"/>
    <w:rsid w:val="3D9A57E4"/>
    <w:rsid w:val="3DAADCB5"/>
    <w:rsid w:val="3DB7A0B0"/>
    <w:rsid w:val="3DC3BCB7"/>
    <w:rsid w:val="3DE9582E"/>
    <w:rsid w:val="3DF91C81"/>
    <w:rsid w:val="3E0C02AF"/>
    <w:rsid w:val="3E329E70"/>
    <w:rsid w:val="3E9FF563"/>
    <w:rsid w:val="3EDEC533"/>
    <w:rsid w:val="3EF66B7F"/>
    <w:rsid w:val="3F4352F5"/>
    <w:rsid w:val="3F7421E5"/>
    <w:rsid w:val="3F7F33B9"/>
    <w:rsid w:val="3F8ED66B"/>
    <w:rsid w:val="3FFCA32D"/>
    <w:rsid w:val="40082DE8"/>
    <w:rsid w:val="40262634"/>
    <w:rsid w:val="4051C69A"/>
    <w:rsid w:val="40540BC5"/>
    <w:rsid w:val="40BCC562"/>
    <w:rsid w:val="41048990"/>
    <w:rsid w:val="4121F6E4"/>
    <w:rsid w:val="41487A84"/>
    <w:rsid w:val="41663152"/>
    <w:rsid w:val="418F89E0"/>
    <w:rsid w:val="41A36A13"/>
    <w:rsid w:val="41EB01B6"/>
    <w:rsid w:val="42237E49"/>
    <w:rsid w:val="4226AA76"/>
    <w:rsid w:val="428D3C48"/>
    <w:rsid w:val="42B76E67"/>
    <w:rsid w:val="42C7650E"/>
    <w:rsid w:val="42EDF539"/>
    <w:rsid w:val="436044AB"/>
    <w:rsid w:val="4382EC90"/>
    <w:rsid w:val="442B9F7C"/>
    <w:rsid w:val="443FF768"/>
    <w:rsid w:val="4454F0C1"/>
    <w:rsid w:val="44B72C24"/>
    <w:rsid w:val="450A042E"/>
    <w:rsid w:val="45251E9A"/>
    <w:rsid w:val="453B8AE4"/>
    <w:rsid w:val="45497FC2"/>
    <w:rsid w:val="46038C5A"/>
    <w:rsid w:val="46654EDF"/>
    <w:rsid w:val="46DC546B"/>
    <w:rsid w:val="46E1E157"/>
    <w:rsid w:val="46EBCBD6"/>
    <w:rsid w:val="46F2ED72"/>
    <w:rsid w:val="46F7FC5C"/>
    <w:rsid w:val="4711FA9B"/>
    <w:rsid w:val="47268BB9"/>
    <w:rsid w:val="47841B85"/>
    <w:rsid w:val="47BB0A24"/>
    <w:rsid w:val="47C15C31"/>
    <w:rsid w:val="47C8D8EF"/>
    <w:rsid w:val="48005449"/>
    <w:rsid w:val="4801B04A"/>
    <w:rsid w:val="48BB8215"/>
    <w:rsid w:val="48FC7EF4"/>
    <w:rsid w:val="497A6DFF"/>
    <w:rsid w:val="49C0A71D"/>
    <w:rsid w:val="4A1D5017"/>
    <w:rsid w:val="4A563EEC"/>
    <w:rsid w:val="4A85DD63"/>
    <w:rsid w:val="4ACFAF70"/>
    <w:rsid w:val="4C1C12C1"/>
    <w:rsid w:val="4C7F1DFA"/>
    <w:rsid w:val="4CAB5848"/>
    <w:rsid w:val="4CCB5A84"/>
    <w:rsid w:val="4D1B1F2E"/>
    <w:rsid w:val="4D4DDE2E"/>
    <w:rsid w:val="4D822F68"/>
    <w:rsid w:val="4DEF772E"/>
    <w:rsid w:val="4DF30E4C"/>
    <w:rsid w:val="4E29C172"/>
    <w:rsid w:val="4E4C572A"/>
    <w:rsid w:val="4E7002AD"/>
    <w:rsid w:val="4E8B4506"/>
    <w:rsid w:val="4EA91029"/>
    <w:rsid w:val="4EC94AFE"/>
    <w:rsid w:val="4F2B0038"/>
    <w:rsid w:val="4F3E3EFD"/>
    <w:rsid w:val="4F65649F"/>
    <w:rsid w:val="5022744B"/>
    <w:rsid w:val="5029643C"/>
    <w:rsid w:val="506E3FFE"/>
    <w:rsid w:val="5076DCE3"/>
    <w:rsid w:val="507BB592"/>
    <w:rsid w:val="50B909FA"/>
    <w:rsid w:val="50CE71B9"/>
    <w:rsid w:val="50D625AD"/>
    <w:rsid w:val="512F0CCB"/>
    <w:rsid w:val="5147A6EF"/>
    <w:rsid w:val="517F3AEE"/>
    <w:rsid w:val="51F0FF19"/>
    <w:rsid w:val="521CE2E4"/>
    <w:rsid w:val="5270EA3F"/>
    <w:rsid w:val="5279168E"/>
    <w:rsid w:val="52BC9FF2"/>
    <w:rsid w:val="52E768DA"/>
    <w:rsid w:val="53840606"/>
    <w:rsid w:val="53AA45C4"/>
    <w:rsid w:val="53D2FE33"/>
    <w:rsid w:val="53F19155"/>
    <w:rsid w:val="54742E33"/>
    <w:rsid w:val="54FCD570"/>
    <w:rsid w:val="550ED9E4"/>
    <w:rsid w:val="5579327C"/>
    <w:rsid w:val="55814DD9"/>
    <w:rsid w:val="55DE084C"/>
    <w:rsid w:val="55DF0397"/>
    <w:rsid w:val="55FB9240"/>
    <w:rsid w:val="56175CA5"/>
    <w:rsid w:val="56371707"/>
    <w:rsid w:val="5637536F"/>
    <w:rsid w:val="568F2359"/>
    <w:rsid w:val="56A4342A"/>
    <w:rsid w:val="572727E3"/>
    <w:rsid w:val="58942E9A"/>
    <w:rsid w:val="589C84EB"/>
    <w:rsid w:val="58AF3EB4"/>
    <w:rsid w:val="58B820D8"/>
    <w:rsid w:val="58C2EE02"/>
    <w:rsid w:val="5A6A44FB"/>
    <w:rsid w:val="5B127517"/>
    <w:rsid w:val="5B4A7BE6"/>
    <w:rsid w:val="5BAF4956"/>
    <w:rsid w:val="5BC39F6E"/>
    <w:rsid w:val="5BC9F205"/>
    <w:rsid w:val="5C0F54FD"/>
    <w:rsid w:val="5C34CE6A"/>
    <w:rsid w:val="5C73D868"/>
    <w:rsid w:val="5D19C9A9"/>
    <w:rsid w:val="5D331E05"/>
    <w:rsid w:val="5D59E21F"/>
    <w:rsid w:val="5D69F56C"/>
    <w:rsid w:val="5DD0DDA9"/>
    <w:rsid w:val="5E1EAAF4"/>
    <w:rsid w:val="5E935729"/>
    <w:rsid w:val="5EC323F7"/>
    <w:rsid w:val="5F06E3EC"/>
    <w:rsid w:val="5F313D55"/>
    <w:rsid w:val="5F628636"/>
    <w:rsid w:val="5F9E3D04"/>
    <w:rsid w:val="5FC9FC84"/>
    <w:rsid w:val="5FCD1BF8"/>
    <w:rsid w:val="5FD35356"/>
    <w:rsid w:val="5FECBA61"/>
    <w:rsid w:val="6054D362"/>
    <w:rsid w:val="605D965C"/>
    <w:rsid w:val="612CF767"/>
    <w:rsid w:val="6140AD42"/>
    <w:rsid w:val="61815A1F"/>
    <w:rsid w:val="61A95C74"/>
    <w:rsid w:val="61FDC059"/>
    <w:rsid w:val="62F47361"/>
    <w:rsid w:val="6354A9C4"/>
    <w:rsid w:val="643D1ED4"/>
    <w:rsid w:val="64475EC7"/>
    <w:rsid w:val="647427D7"/>
    <w:rsid w:val="648040AF"/>
    <w:rsid w:val="64A6B7B5"/>
    <w:rsid w:val="64CE86BF"/>
    <w:rsid w:val="6558AEB9"/>
    <w:rsid w:val="657D2FF2"/>
    <w:rsid w:val="65B10DDF"/>
    <w:rsid w:val="662244D0"/>
    <w:rsid w:val="664C9736"/>
    <w:rsid w:val="6676D08E"/>
    <w:rsid w:val="66CA7973"/>
    <w:rsid w:val="66DF6CE0"/>
    <w:rsid w:val="6727B434"/>
    <w:rsid w:val="677A8DFD"/>
    <w:rsid w:val="67945110"/>
    <w:rsid w:val="6839DDF0"/>
    <w:rsid w:val="68516071"/>
    <w:rsid w:val="687855D8"/>
    <w:rsid w:val="68B9DD8E"/>
    <w:rsid w:val="68DE2211"/>
    <w:rsid w:val="68F4B25F"/>
    <w:rsid w:val="693CF1A5"/>
    <w:rsid w:val="69653896"/>
    <w:rsid w:val="69E6A4A9"/>
    <w:rsid w:val="6A50A060"/>
    <w:rsid w:val="6A5BCC1F"/>
    <w:rsid w:val="6A67E7CA"/>
    <w:rsid w:val="6AC58D82"/>
    <w:rsid w:val="6AE8AECE"/>
    <w:rsid w:val="6AEA7578"/>
    <w:rsid w:val="6B519191"/>
    <w:rsid w:val="6B6E8517"/>
    <w:rsid w:val="6BC02E03"/>
    <w:rsid w:val="6BFD17C6"/>
    <w:rsid w:val="6C1145C0"/>
    <w:rsid w:val="6C3AC0FA"/>
    <w:rsid w:val="6C4C788B"/>
    <w:rsid w:val="6C4CD5E6"/>
    <w:rsid w:val="6CD49FDF"/>
    <w:rsid w:val="6CEFE56C"/>
    <w:rsid w:val="6D067B4D"/>
    <w:rsid w:val="6D604DA7"/>
    <w:rsid w:val="6D72BCB8"/>
    <w:rsid w:val="6D8B222E"/>
    <w:rsid w:val="6DB15FB5"/>
    <w:rsid w:val="6E1BF12D"/>
    <w:rsid w:val="6E31DED9"/>
    <w:rsid w:val="6E77EE86"/>
    <w:rsid w:val="6F07472B"/>
    <w:rsid w:val="6F379C80"/>
    <w:rsid w:val="6F47AF01"/>
    <w:rsid w:val="6F4929FF"/>
    <w:rsid w:val="6F768F8E"/>
    <w:rsid w:val="6F9354A2"/>
    <w:rsid w:val="6FA5F177"/>
    <w:rsid w:val="6FE07392"/>
    <w:rsid w:val="7005DD60"/>
    <w:rsid w:val="7016E2E9"/>
    <w:rsid w:val="70557EEC"/>
    <w:rsid w:val="705B6F9A"/>
    <w:rsid w:val="70A4015B"/>
    <w:rsid w:val="70B60FEA"/>
    <w:rsid w:val="70BB3462"/>
    <w:rsid w:val="70BF5C59"/>
    <w:rsid w:val="70F0009F"/>
    <w:rsid w:val="70F85278"/>
    <w:rsid w:val="711EEF35"/>
    <w:rsid w:val="7159CD0A"/>
    <w:rsid w:val="71CCC6D3"/>
    <w:rsid w:val="71E842CA"/>
    <w:rsid w:val="72533202"/>
    <w:rsid w:val="725EC838"/>
    <w:rsid w:val="72D55282"/>
    <w:rsid w:val="72F3A939"/>
    <w:rsid w:val="739643EE"/>
    <w:rsid w:val="73F73AF4"/>
    <w:rsid w:val="73F95861"/>
    <w:rsid w:val="742489CC"/>
    <w:rsid w:val="7439ABEC"/>
    <w:rsid w:val="745D2EC8"/>
    <w:rsid w:val="74A6BB8D"/>
    <w:rsid w:val="74DEB570"/>
    <w:rsid w:val="753A43F0"/>
    <w:rsid w:val="75A8255E"/>
    <w:rsid w:val="760038C7"/>
    <w:rsid w:val="76AFCC6E"/>
    <w:rsid w:val="76CA5C4E"/>
    <w:rsid w:val="76D3E455"/>
    <w:rsid w:val="76EA13C6"/>
    <w:rsid w:val="772961C8"/>
    <w:rsid w:val="77DFBF13"/>
    <w:rsid w:val="781F1CA4"/>
    <w:rsid w:val="78570A59"/>
    <w:rsid w:val="7865617F"/>
    <w:rsid w:val="786AD642"/>
    <w:rsid w:val="78B7B1B7"/>
    <w:rsid w:val="78E70CA0"/>
    <w:rsid w:val="792C9C02"/>
    <w:rsid w:val="79555A70"/>
    <w:rsid w:val="799478BF"/>
    <w:rsid w:val="7A03BF72"/>
    <w:rsid w:val="7A08F3BF"/>
    <w:rsid w:val="7A160A1E"/>
    <w:rsid w:val="7A1CDB88"/>
    <w:rsid w:val="7A3F7CD6"/>
    <w:rsid w:val="7A90CBE3"/>
    <w:rsid w:val="7AD4A2DE"/>
    <w:rsid w:val="7AE91BEB"/>
    <w:rsid w:val="7B8C11FC"/>
    <w:rsid w:val="7BC87650"/>
    <w:rsid w:val="7C0D95E6"/>
    <w:rsid w:val="7C334796"/>
    <w:rsid w:val="7C8AF6E8"/>
    <w:rsid w:val="7CA34436"/>
    <w:rsid w:val="7D0A6DCB"/>
    <w:rsid w:val="7D2C3E56"/>
    <w:rsid w:val="7D711D4B"/>
    <w:rsid w:val="7D943F27"/>
    <w:rsid w:val="7DCAFBEF"/>
    <w:rsid w:val="7E1D6A88"/>
    <w:rsid w:val="7E4FDAD6"/>
    <w:rsid w:val="7ECDAC8B"/>
    <w:rsid w:val="7F04845F"/>
    <w:rsid w:val="7F43F2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BC40D"/>
  <w15:chartTrackingRefBased/>
  <w15:docId w15:val="{91480CEA-FF0E-4974-945F-0301189C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E4"/>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FD25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link w:val="Heading2Char"/>
    <w:uiPriority w:val="9"/>
    <w:qFormat/>
    <w:rsid w:val="00C30303"/>
    <w:pPr>
      <w:spacing w:after="120" w:line="285" w:lineRule="auto"/>
      <w:outlineLvl w:val="1"/>
    </w:pPr>
    <w:rPr>
      <w:rFonts w:ascii="Century Gothic" w:eastAsia="Times New Roman" w:hAnsi="Century Gothic" w:cs="Times New Roman"/>
      <w:b/>
      <w:bCs/>
      <w:color w:val="349D96"/>
      <w:kern w:val="28"/>
      <w:sz w:val="36"/>
      <w:szCs w:val="36"/>
      <w14:ligatures w14:val="standard"/>
      <w14:cntxtAlts/>
    </w:rPr>
  </w:style>
  <w:style w:type="paragraph" w:styleId="Heading3">
    <w:name w:val="heading 3"/>
    <w:basedOn w:val="Normal"/>
    <w:next w:val="Normal"/>
    <w:link w:val="Heading3Char"/>
    <w:uiPriority w:val="9"/>
    <w:unhideWhenUsed/>
    <w:qFormat/>
    <w:rsid w:val="00D76F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3557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0303"/>
    <w:rPr>
      <w:rFonts w:ascii="Century Gothic" w:eastAsia="Times New Roman" w:hAnsi="Century Gothic" w:cs="Times New Roman"/>
      <w:b/>
      <w:bCs/>
      <w:color w:val="000000"/>
      <w:kern w:val="28"/>
      <w:sz w:val="36"/>
      <w:szCs w:val="36"/>
      <w14:ligatures w14:val="standard"/>
      <w14:cntxtAlts/>
    </w:rPr>
  </w:style>
  <w:style w:type="paragraph" w:styleId="BodyText">
    <w:name w:val="Body Text"/>
    <w:link w:val="BodyTextChar"/>
    <w:uiPriority w:val="99"/>
    <w:unhideWhenUsed/>
    <w:rsid w:val="00C30303"/>
    <w:pPr>
      <w:spacing w:after="120" w:line="264" w:lineRule="auto"/>
    </w:pPr>
    <w:rPr>
      <w:rFonts w:ascii="Calibri" w:eastAsia="Times New Roman" w:hAnsi="Calibri" w:cs="Calibri"/>
      <w:color w:val="000000"/>
      <w:kern w:val="28"/>
      <w14:ligatures w14:val="standard"/>
      <w14:cntxtAlts/>
    </w:rPr>
  </w:style>
  <w:style w:type="character" w:customStyle="1" w:styleId="BodyTextChar">
    <w:name w:val="Body Text Char"/>
    <w:basedOn w:val="DefaultParagraphFont"/>
    <w:link w:val="BodyText"/>
    <w:uiPriority w:val="99"/>
    <w:rsid w:val="00C30303"/>
    <w:rPr>
      <w:rFonts w:ascii="Calibri" w:eastAsia="Times New Roman" w:hAnsi="Calibri" w:cs="Calibri"/>
      <w:color w:val="000000"/>
      <w:kern w:val="28"/>
      <w14:ligatures w14:val="standard"/>
      <w14:cntxtAlts/>
    </w:rPr>
  </w:style>
  <w:style w:type="table" w:styleId="TableGrid">
    <w:name w:val="Table Grid"/>
    <w:basedOn w:val="TableNormal"/>
    <w:uiPriority w:val="59"/>
    <w:rsid w:val="00AC4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5F3B"/>
    <w:rPr>
      <w:sz w:val="16"/>
      <w:szCs w:val="16"/>
    </w:rPr>
  </w:style>
  <w:style w:type="paragraph" w:styleId="CommentText">
    <w:name w:val="annotation text"/>
    <w:basedOn w:val="Normal"/>
    <w:link w:val="CommentTextChar"/>
    <w:uiPriority w:val="99"/>
    <w:unhideWhenUsed/>
    <w:rsid w:val="002A5F3B"/>
    <w:pPr>
      <w:spacing w:line="240" w:lineRule="auto"/>
    </w:pPr>
  </w:style>
  <w:style w:type="character" w:customStyle="1" w:styleId="CommentTextChar">
    <w:name w:val="Comment Text Char"/>
    <w:basedOn w:val="DefaultParagraphFont"/>
    <w:link w:val="CommentText"/>
    <w:uiPriority w:val="99"/>
    <w:rsid w:val="002A5F3B"/>
    <w:rPr>
      <w:rFonts w:ascii="Calibri" w:eastAsia="Times New Roman" w:hAnsi="Calibri" w:cs="Calibri"/>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2A5F3B"/>
    <w:rPr>
      <w:b/>
      <w:bCs/>
    </w:rPr>
  </w:style>
  <w:style w:type="character" w:customStyle="1" w:styleId="CommentSubjectChar">
    <w:name w:val="Comment Subject Char"/>
    <w:basedOn w:val="CommentTextChar"/>
    <w:link w:val="CommentSubject"/>
    <w:uiPriority w:val="99"/>
    <w:semiHidden/>
    <w:rsid w:val="002A5F3B"/>
    <w:rPr>
      <w:rFonts w:ascii="Calibri" w:eastAsia="Times New Roman" w:hAnsi="Calibri" w:cs="Calibri"/>
      <w:b/>
      <w:bCs/>
      <w:color w:val="000000"/>
      <w:kern w:val="28"/>
      <w:sz w:val="20"/>
      <w:szCs w:val="20"/>
      <w14:ligatures w14:val="standard"/>
      <w14:cntxtAlts/>
    </w:rPr>
  </w:style>
  <w:style w:type="paragraph" w:styleId="BalloonText">
    <w:name w:val="Balloon Text"/>
    <w:basedOn w:val="Normal"/>
    <w:link w:val="BalloonTextChar"/>
    <w:uiPriority w:val="99"/>
    <w:semiHidden/>
    <w:unhideWhenUsed/>
    <w:rsid w:val="002A5F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F3B"/>
    <w:rPr>
      <w:rFonts w:ascii="Segoe UI" w:eastAsia="Times New Roman" w:hAnsi="Segoe UI" w:cs="Segoe UI"/>
      <w:color w:val="000000"/>
      <w:kern w:val="28"/>
      <w:sz w:val="18"/>
      <w:szCs w:val="18"/>
      <w14:ligatures w14:val="standard"/>
      <w14:cntxtAlts/>
    </w:rPr>
  </w:style>
  <w:style w:type="paragraph" w:styleId="ListParagraph">
    <w:name w:val="List Paragraph"/>
    <w:basedOn w:val="Normal"/>
    <w:uiPriority w:val="34"/>
    <w:qFormat/>
    <w:rsid w:val="00AA4DC9"/>
    <w:pPr>
      <w:spacing w:before="100" w:beforeAutospacing="1" w:after="100" w:afterAutospacing="1" w:line="240" w:lineRule="auto"/>
      <w:ind w:left="720"/>
      <w:contextualSpacing/>
    </w:pPr>
    <w:rPr>
      <w:rFonts w:asciiTheme="minorHAnsi" w:eastAsiaTheme="minorHAnsi" w:hAnsiTheme="minorHAnsi" w:cstheme="minorBidi"/>
      <w:color w:val="auto"/>
      <w:kern w:val="0"/>
      <w:sz w:val="22"/>
      <w:szCs w:val="22"/>
      <w14:ligatures w14:val="none"/>
      <w14:cntxtAlts w14:val="0"/>
    </w:rPr>
  </w:style>
  <w:style w:type="paragraph" w:styleId="FootnoteText">
    <w:name w:val="footnote text"/>
    <w:basedOn w:val="Normal"/>
    <w:link w:val="FootnoteTextChar"/>
    <w:uiPriority w:val="99"/>
    <w:semiHidden/>
    <w:unhideWhenUsed/>
    <w:rsid w:val="0067053B"/>
    <w:pPr>
      <w:spacing w:after="0" w:line="240" w:lineRule="auto"/>
    </w:pPr>
  </w:style>
  <w:style w:type="character" w:customStyle="1" w:styleId="FootnoteTextChar">
    <w:name w:val="Footnote Text Char"/>
    <w:basedOn w:val="DefaultParagraphFont"/>
    <w:link w:val="FootnoteText"/>
    <w:uiPriority w:val="99"/>
    <w:semiHidden/>
    <w:rsid w:val="0067053B"/>
    <w:rPr>
      <w:rFonts w:ascii="Calibri" w:eastAsia="Times New Roman" w:hAnsi="Calibri" w:cs="Calibri"/>
      <w:color w:val="000000"/>
      <w:kern w:val="28"/>
      <w:sz w:val="20"/>
      <w:szCs w:val="20"/>
      <w14:ligatures w14:val="standard"/>
      <w14:cntxtAlts/>
    </w:rPr>
  </w:style>
  <w:style w:type="character" w:styleId="FootnoteReference">
    <w:name w:val="footnote reference"/>
    <w:basedOn w:val="DefaultParagraphFont"/>
    <w:uiPriority w:val="99"/>
    <w:semiHidden/>
    <w:unhideWhenUsed/>
    <w:rsid w:val="0067053B"/>
    <w:rPr>
      <w:vertAlign w:val="superscript"/>
    </w:rPr>
  </w:style>
  <w:style w:type="character" w:customStyle="1" w:styleId="Heading3Char">
    <w:name w:val="Heading 3 Char"/>
    <w:basedOn w:val="DefaultParagraphFont"/>
    <w:link w:val="Heading3"/>
    <w:uiPriority w:val="9"/>
    <w:rsid w:val="00D76F3F"/>
    <w:rPr>
      <w:rFonts w:asciiTheme="majorHAnsi" w:eastAsiaTheme="majorEastAsia" w:hAnsiTheme="majorHAnsi" w:cstheme="majorBidi"/>
      <w:color w:val="1F4D78" w:themeColor="accent1" w:themeShade="7F"/>
      <w:kern w:val="28"/>
      <w:sz w:val="24"/>
      <w:szCs w:val="24"/>
      <w14:ligatures w14:val="standard"/>
      <w14:cntxtAlts/>
    </w:rPr>
  </w:style>
  <w:style w:type="paragraph" w:styleId="Header">
    <w:name w:val="header"/>
    <w:basedOn w:val="Normal"/>
    <w:link w:val="HeaderChar"/>
    <w:uiPriority w:val="99"/>
    <w:unhideWhenUsed/>
    <w:rsid w:val="00413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D86"/>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413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D86"/>
    <w:rPr>
      <w:rFonts w:ascii="Calibri" w:eastAsia="Times New Roman" w:hAnsi="Calibri" w:cs="Calibri"/>
      <w:color w:val="000000"/>
      <w:kern w:val="28"/>
      <w:sz w:val="20"/>
      <w:szCs w:val="20"/>
      <w14:ligatures w14:val="standard"/>
      <w14:cntxtAlts/>
    </w:rPr>
  </w:style>
  <w:style w:type="character" w:styleId="Hyperlink">
    <w:name w:val="Hyperlink"/>
    <w:basedOn w:val="DefaultParagraphFont"/>
    <w:uiPriority w:val="99"/>
    <w:unhideWhenUsed/>
    <w:rsid w:val="006265DA"/>
    <w:rPr>
      <w:color w:val="0563C1" w:themeColor="hyperlink"/>
      <w:u w:val="single"/>
    </w:rPr>
  </w:style>
  <w:style w:type="character" w:styleId="FollowedHyperlink">
    <w:name w:val="FollowedHyperlink"/>
    <w:basedOn w:val="DefaultParagraphFont"/>
    <w:uiPriority w:val="99"/>
    <w:semiHidden/>
    <w:unhideWhenUsed/>
    <w:rsid w:val="00DC6EE1"/>
    <w:rPr>
      <w:color w:val="954F72" w:themeColor="followedHyperlink"/>
      <w:u w:val="single"/>
    </w:rPr>
  </w:style>
  <w:style w:type="table" w:styleId="GridTable5Dark-Accent1">
    <w:name w:val="Grid Table 5 Dark Accent 1"/>
    <w:basedOn w:val="TableNormal"/>
    <w:uiPriority w:val="50"/>
    <w:rsid w:val="00E37A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1">
    <w:name w:val="Grid Table 4 Accent 1"/>
    <w:basedOn w:val="TableNormal"/>
    <w:uiPriority w:val="49"/>
    <w:rsid w:val="0088164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5">
    <w:name w:val="Grid Table 5 Dark Accent 5"/>
    <w:basedOn w:val="TableNormal"/>
    <w:uiPriority w:val="50"/>
    <w:rsid w:val="008816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ListTable3-Accent5">
    <w:name w:val="List Table 3 Accent 5"/>
    <w:basedOn w:val="TableNormal"/>
    <w:uiPriority w:val="48"/>
    <w:rsid w:val="0064343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NoSpacing">
    <w:name w:val="No Spacing"/>
    <w:uiPriority w:val="1"/>
    <w:qFormat/>
    <w:rsid w:val="00166381"/>
    <w:pPr>
      <w:spacing w:after="0" w:line="240" w:lineRule="auto"/>
    </w:pPr>
    <w:rPr>
      <w:rFonts w:ascii="Calibri" w:eastAsia="Times New Roman" w:hAnsi="Calibri" w:cs="Calibri"/>
      <w:color w:val="000000"/>
      <w:kern w:val="28"/>
      <w:sz w:val="20"/>
      <w:szCs w:val="20"/>
      <w14:ligatures w14:val="standard"/>
      <w14:cntxtAlts/>
    </w:rPr>
  </w:style>
  <w:style w:type="character" w:styleId="UnresolvedMention">
    <w:name w:val="Unresolved Mention"/>
    <w:basedOn w:val="DefaultParagraphFont"/>
    <w:uiPriority w:val="99"/>
    <w:semiHidden/>
    <w:unhideWhenUsed/>
    <w:rsid w:val="00755120"/>
    <w:rPr>
      <w:color w:val="605E5C"/>
      <w:shd w:val="clear" w:color="auto" w:fill="E1DFDD"/>
    </w:rPr>
  </w:style>
  <w:style w:type="table" w:styleId="GridTable2-Accent1">
    <w:name w:val="Grid Table 2 Accent 1"/>
    <w:basedOn w:val="TableNormal"/>
    <w:uiPriority w:val="47"/>
    <w:rsid w:val="002B01FD"/>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9E2ED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4Char">
    <w:name w:val="Heading 4 Char"/>
    <w:basedOn w:val="DefaultParagraphFont"/>
    <w:link w:val="Heading4"/>
    <w:uiPriority w:val="9"/>
    <w:rsid w:val="00735571"/>
    <w:rPr>
      <w:rFonts w:asciiTheme="majorHAnsi" w:eastAsiaTheme="majorEastAsia" w:hAnsiTheme="majorHAnsi" w:cstheme="majorBidi"/>
      <w:i/>
      <w:iCs/>
      <w:color w:val="2E74B5" w:themeColor="accent1" w:themeShade="BF"/>
      <w:kern w:val="28"/>
      <w:sz w:val="20"/>
      <w:szCs w:val="20"/>
      <w14:ligatures w14:val="standard"/>
      <w14:cntxtAlts/>
    </w:rPr>
  </w:style>
  <w:style w:type="character" w:customStyle="1" w:styleId="Heading1Char">
    <w:name w:val="Heading 1 Char"/>
    <w:basedOn w:val="DefaultParagraphFont"/>
    <w:link w:val="Heading1"/>
    <w:uiPriority w:val="9"/>
    <w:rsid w:val="00FD257A"/>
    <w:rPr>
      <w:rFonts w:asciiTheme="majorHAnsi" w:eastAsiaTheme="majorEastAsia" w:hAnsiTheme="majorHAnsi" w:cstheme="majorBidi"/>
      <w:color w:val="2E74B5" w:themeColor="accent1" w:themeShade="BF"/>
      <w:kern w:val="28"/>
      <w:sz w:val="32"/>
      <w:szCs w:val="32"/>
      <w14:ligatures w14:val="standard"/>
      <w14:cntxtAlts/>
    </w:rPr>
  </w:style>
  <w:style w:type="paragraph" w:styleId="TOCHeading">
    <w:name w:val="TOC Heading"/>
    <w:basedOn w:val="Heading1"/>
    <w:next w:val="Normal"/>
    <w:uiPriority w:val="39"/>
    <w:unhideWhenUsed/>
    <w:qFormat/>
    <w:rsid w:val="00FD257A"/>
    <w:pPr>
      <w:spacing w:line="259" w:lineRule="auto"/>
      <w:outlineLvl w:val="9"/>
    </w:pPr>
    <w:rPr>
      <w:kern w:val="0"/>
      <w14:ligatures w14:val="none"/>
      <w14:cntxtAlts w14:val="0"/>
    </w:rPr>
  </w:style>
  <w:style w:type="paragraph" w:styleId="TOC2">
    <w:name w:val="toc 2"/>
    <w:basedOn w:val="Normal"/>
    <w:next w:val="Normal"/>
    <w:autoRedefine/>
    <w:uiPriority w:val="39"/>
    <w:unhideWhenUsed/>
    <w:rsid w:val="00FD257A"/>
    <w:pPr>
      <w:spacing w:after="100"/>
      <w:ind w:left="200"/>
    </w:pPr>
  </w:style>
  <w:style w:type="paragraph" w:styleId="TOC1">
    <w:name w:val="toc 1"/>
    <w:basedOn w:val="Normal"/>
    <w:next w:val="Normal"/>
    <w:autoRedefine/>
    <w:uiPriority w:val="39"/>
    <w:unhideWhenUsed/>
    <w:rsid w:val="00FD257A"/>
    <w:pPr>
      <w:spacing w:after="100"/>
    </w:pPr>
  </w:style>
  <w:style w:type="paragraph" w:styleId="TOC3">
    <w:name w:val="toc 3"/>
    <w:basedOn w:val="Normal"/>
    <w:next w:val="Normal"/>
    <w:autoRedefine/>
    <w:uiPriority w:val="39"/>
    <w:unhideWhenUsed/>
    <w:rsid w:val="00092C86"/>
    <w:pPr>
      <w:spacing w:after="100" w:line="259" w:lineRule="auto"/>
      <w:ind w:left="440"/>
    </w:pPr>
    <w:rPr>
      <w:rFonts w:asciiTheme="minorHAnsi" w:eastAsiaTheme="minorEastAsia" w:hAnsiTheme="minorHAnsi" w:cs="Times New Roman"/>
      <w:color w:val="auto"/>
      <w:kern w:val="0"/>
      <w:sz w:val="22"/>
      <w:szCs w:val="22"/>
      <w14:ligatures w14:val="none"/>
      <w14:cntxtAlts w14:val="0"/>
    </w:rPr>
  </w:style>
  <w:style w:type="paragraph" w:styleId="TOC4">
    <w:name w:val="toc 4"/>
    <w:basedOn w:val="Normal"/>
    <w:next w:val="Normal"/>
    <w:autoRedefine/>
    <w:uiPriority w:val="39"/>
    <w:unhideWhenUsed/>
    <w:rsid w:val="0082197B"/>
    <w:pPr>
      <w:spacing w:after="100" w:line="278" w:lineRule="auto"/>
      <w:ind w:left="720"/>
    </w:pPr>
    <w:rPr>
      <w:rFonts w:asciiTheme="minorHAnsi" w:eastAsiaTheme="minorEastAsia" w:hAnsiTheme="minorHAnsi" w:cstheme="minorBidi"/>
      <w:color w:val="auto"/>
      <w:kern w:val="2"/>
      <w:sz w:val="24"/>
      <w:szCs w:val="24"/>
      <w14:ligatures w14:val="standardContextual"/>
      <w14:cntxtAlts w14:val="0"/>
    </w:rPr>
  </w:style>
  <w:style w:type="paragraph" w:styleId="TOC5">
    <w:name w:val="toc 5"/>
    <w:basedOn w:val="Normal"/>
    <w:next w:val="Normal"/>
    <w:autoRedefine/>
    <w:uiPriority w:val="39"/>
    <w:unhideWhenUsed/>
    <w:rsid w:val="0082197B"/>
    <w:pPr>
      <w:spacing w:after="100" w:line="278" w:lineRule="auto"/>
      <w:ind w:left="960"/>
    </w:pPr>
    <w:rPr>
      <w:rFonts w:asciiTheme="minorHAnsi" w:eastAsiaTheme="minorEastAsia" w:hAnsiTheme="minorHAnsi" w:cstheme="minorBidi"/>
      <w:color w:val="auto"/>
      <w:kern w:val="2"/>
      <w:sz w:val="24"/>
      <w:szCs w:val="24"/>
      <w14:ligatures w14:val="standardContextual"/>
      <w14:cntxtAlts w14:val="0"/>
    </w:rPr>
  </w:style>
  <w:style w:type="paragraph" w:styleId="TOC6">
    <w:name w:val="toc 6"/>
    <w:basedOn w:val="Normal"/>
    <w:next w:val="Normal"/>
    <w:autoRedefine/>
    <w:uiPriority w:val="39"/>
    <w:unhideWhenUsed/>
    <w:rsid w:val="0082197B"/>
    <w:pPr>
      <w:spacing w:after="100" w:line="278" w:lineRule="auto"/>
      <w:ind w:left="1200"/>
    </w:pPr>
    <w:rPr>
      <w:rFonts w:asciiTheme="minorHAnsi" w:eastAsiaTheme="minorEastAsia" w:hAnsiTheme="minorHAnsi" w:cstheme="minorBidi"/>
      <w:color w:val="auto"/>
      <w:kern w:val="2"/>
      <w:sz w:val="24"/>
      <w:szCs w:val="24"/>
      <w14:ligatures w14:val="standardContextual"/>
      <w14:cntxtAlts w14:val="0"/>
    </w:rPr>
  </w:style>
  <w:style w:type="paragraph" w:styleId="TOC7">
    <w:name w:val="toc 7"/>
    <w:basedOn w:val="Normal"/>
    <w:next w:val="Normal"/>
    <w:autoRedefine/>
    <w:uiPriority w:val="39"/>
    <w:unhideWhenUsed/>
    <w:rsid w:val="0082197B"/>
    <w:pPr>
      <w:spacing w:after="100" w:line="278" w:lineRule="auto"/>
      <w:ind w:left="1440"/>
    </w:pPr>
    <w:rPr>
      <w:rFonts w:asciiTheme="minorHAnsi" w:eastAsiaTheme="minorEastAsia" w:hAnsiTheme="minorHAnsi" w:cstheme="minorBidi"/>
      <w:color w:val="auto"/>
      <w:kern w:val="2"/>
      <w:sz w:val="24"/>
      <w:szCs w:val="24"/>
      <w14:ligatures w14:val="standardContextual"/>
      <w14:cntxtAlts w14:val="0"/>
    </w:rPr>
  </w:style>
  <w:style w:type="paragraph" w:styleId="TOC8">
    <w:name w:val="toc 8"/>
    <w:basedOn w:val="Normal"/>
    <w:next w:val="Normal"/>
    <w:autoRedefine/>
    <w:uiPriority w:val="39"/>
    <w:unhideWhenUsed/>
    <w:rsid w:val="0082197B"/>
    <w:pPr>
      <w:spacing w:after="100" w:line="278" w:lineRule="auto"/>
      <w:ind w:left="1680"/>
    </w:pPr>
    <w:rPr>
      <w:rFonts w:asciiTheme="minorHAnsi" w:eastAsiaTheme="minorEastAsia" w:hAnsiTheme="minorHAnsi" w:cstheme="minorBidi"/>
      <w:color w:val="auto"/>
      <w:kern w:val="2"/>
      <w:sz w:val="24"/>
      <w:szCs w:val="24"/>
      <w14:ligatures w14:val="standardContextual"/>
      <w14:cntxtAlts w14:val="0"/>
    </w:rPr>
  </w:style>
  <w:style w:type="paragraph" w:styleId="TOC9">
    <w:name w:val="toc 9"/>
    <w:basedOn w:val="Normal"/>
    <w:next w:val="Normal"/>
    <w:autoRedefine/>
    <w:uiPriority w:val="39"/>
    <w:unhideWhenUsed/>
    <w:rsid w:val="0082197B"/>
    <w:pPr>
      <w:spacing w:after="100" w:line="278" w:lineRule="auto"/>
      <w:ind w:left="1920"/>
    </w:pPr>
    <w:rPr>
      <w:rFonts w:asciiTheme="minorHAnsi" w:eastAsiaTheme="minorEastAsia" w:hAnsiTheme="minorHAnsi" w:cstheme="minorBidi"/>
      <w:color w:val="auto"/>
      <w:kern w:val="2"/>
      <w:sz w:val="24"/>
      <w:szCs w:val="24"/>
      <w14:ligatures w14:val="standardContextual"/>
      <w14:cntxtAlts w14:val="0"/>
    </w:rPr>
  </w:style>
  <w:style w:type="paragraph" w:styleId="Revision">
    <w:name w:val="Revision"/>
    <w:hidden/>
    <w:uiPriority w:val="99"/>
    <w:semiHidden/>
    <w:rsid w:val="007C5559"/>
    <w:pPr>
      <w:spacing w:after="0" w:line="240" w:lineRule="auto"/>
    </w:pPr>
    <w:rPr>
      <w:rFonts w:ascii="Calibri" w:eastAsia="Times New Roman" w:hAnsi="Calibri" w:cs="Calibri"/>
      <w:color w:val="000000"/>
      <w:kern w:val="28"/>
      <w:sz w:val="20"/>
      <w:szCs w:val="20"/>
      <w14:ligatures w14:val="standard"/>
      <w14:cntxtAlts/>
    </w:rPr>
  </w:style>
  <w:style w:type="character" w:styleId="Mention">
    <w:name w:val="Mention"/>
    <w:basedOn w:val="DefaultParagraphFont"/>
    <w:uiPriority w:val="99"/>
    <w:unhideWhenUsed/>
    <w:rsid w:val="003F4C9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679540">
      <w:bodyDiv w:val="1"/>
      <w:marLeft w:val="0"/>
      <w:marRight w:val="0"/>
      <w:marTop w:val="0"/>
      <w:marBottom w:val="0"/>
      <w:divBdr>
        <w:top w:val="none" w:sz="0" w:space="0" w:color="auto"/>
        <w:left w:val="none" w:sz="0" w:space="0" w:color="auto"/>
        <w:bottom w:val="none" w:sz="0" w:space="0" w:color="auto"/>
        <w:right w:val="none" w:sz="0" w:space="0" w:color="auto"/>
      </w:divBdr>
    </w:div>
    <w:div w:id="241641680">
      <w:bodyDiv w:val="1"/>
      <w:marLeft w:val="0"/>
      <w:marRight w:val="0"/>
      <w:marTop w:val="0"/>
      <w:marBottom w:val="0"/>
      <w:divBdr>
        <w:top w:val="none" w:sz="0" w:space="0" w:color="auto"/>
        <w:left w:val="none" w:sz="0" w:space="0" w:color="auto"/>
        <w:bottom w:val="none" w:sz="0" w:space="0" w:color="auto"/>
        <w:right w:val="none" w:sz="0" w:space="0" w:color="auto"/>
      </w:divBdr>
    </w:div>
    <w:div w:id="260531091">
      <w:bodyDiv w:val="1"/>
      <w:marLeft w:val="0"/>
      <w:marRight w:val="0"/>
      <w:marTop w:val="0"/>
      <w:marBottom w:val="0"/>
      <w:divBdr>
        <w:top w:val="none" w:sz="0" w:space="0" w:color="auto"/>
        <w:left w:val="none" w:sz="0" w:space="0" w:color="auto"/>
        <w:bottom w:val="none" w:sz="0" w:space="0" w:color="auto"/>
        <w:right w:val="none" w:sz="0" w:space="0" w:color="auto"/>
      </w:divBdr>
    </w:div>
    <w:div w:id="426854379">
      <w:bodyDiv w:val="1"/>
      <w:marLeft w:val="0"/>
      <w:marRight w:val="0"/>
      <w:marTop w:val="0"/>
      <w:marBottom w:val="0"/>
      <w:divBdr>
        <w:top w:val="none" w:sz="0" w:space="0" w:color="auto"/>
        <w:left w:val="none" w:sz="0" w:space="0" w:color="auto"/>
        <w:bottom w:val="none" w:sz="0" w:space="0" w:color="auto"/>
        <w:right w:val="none" w:sz="0" w:space="0" w:color="auto"/>
      </w:divBdr>
    </w:div>
    <w:div w:id="512570068">
      <w:bodyDiv w:val="1"/>
      <w:marLeft w:val="0"/>
      <w:marRight w:val="0"/>
      <w:marTop w:val="0"/>
      <w:marBottom w:val="0"/>
      <w:divBdr>
        <w:top w:val="none" w:sz="0" w:space="0" w:color="auto"/>
        <w:left w:val="none" w:sz="0" w:space="0" w:color="auto"/>
        <w:bottom w:val="none" w:sz="0" w:space="0" w:color="auto"/>
        <w:right w:val="none" w:sz="0" w:space="0" w:color="auto"/>
      </w:divBdr>
    </w:div>
    <w:div w:id="525487165">
      <w:bodyDiv w:val="1"/>
      <w:marLeft w:val="0"/>
      <w:marRight w:val="0"/>
      <w:marTop w:val="0"/>
      <w:marBottom w:val="0"/>
      <w:divBdr>
        <w:top w:val="none" w:sz="0" w:space="0" w:color="auto"/>
        <w:left w:val="none" w:sz="0" w:space="0" w:color="auto"/>
        <w:bottom w:val="none" w:sz="0" w:space="0" w:color="auto"/>
        <w:right w:val="none" w:sz="0" w:space="0" w:color="auto"/>
      </w:divBdr>
    </w:div>
    <w:div w:id="706641448">
      <w:bodyDiv w:val="1"/>
      <w:marLeft w:val="0"/>
      <w:marRight w:val="0"/>
      <w:marTop w:val="0"/>
      <w:marBottom w:val="0"/>
      <w:divBdr>
        <w:top w:val="none" w:sz="0" w:space="0" w:color="auto"/>
        <w:left w:val="none" w:sz="0" w:space="0" w:color="auto"/>
        <w:bottom w:val="none" w:sz="0" w:space="0" w:color="auto"/>
        <w:right w:val="none" w:sz="0" w:space="0" w:color="auto"/>
      </w:divBdr>
    </w:div>
    <w:div w:id="847644864">
      <w:bodyDiv w:val="1"/>
      <w:marLeft w:val="0"/>
      <w:marRight w:val="0"/>
      <w:marTop w:val="0"/>
      <w:marBottom w:val="0"/>
      <w:divBdr>
        <w:top w:val="none" w:sz="0" w:space="0" w:color="auto"/>
        <w:left w:val="none" w:sz="0" w:space="0" w:color="auto"/>
        <w:bottom w:val="none" w:sz="0" w:space="0" w:color="auto"/>
        <w:right w:val="none" w:sz="0" w:space="0" w:color="auto"/>
      </w:divBdr>
    </w:div>
    <w:div w:id="864950762">
      <w:bodyDiv w:val="1"/>
      <w:marLeft w:val="0"/>
      <w:marRight w:val="0"/>
      <w:marTop w:val="0"/>
      <w:marBottom w:val="0"/>
      <w:divBdr>
        <w:top w:val="none" w:sz="0" w:space="0" w:color="auto"/>
        <w:left w:val="none" w:sz="0" w:space="0" w:color="auto"/>
        <w:bottom w:val="none" w:sz="0" w:space="0" w:color="auto"/>
        <w:right w:val="none" w:sz="0" w:space="0" w:color="auto"/>
      </w:divBdr>
    </w:div>
    <w:div w:id="895432209">
      <w:bodyDiv w:val="1"/>
      <w:marLeft w:val="0"/>
      <w:marRight w:val="0"/>
      <w:marTop w:val="0"/>
      <w:marBottom w:val="0"/>
      <w:divBdr>
        <w:top w:val="none" w:sz="0" w:space="0" w:color="auto"/>
        <w:left w:val="none" w:sz="0" w:space="0" w:color="auto"/>
        <w:bottom w:val="none" w:sz="0" w:space="0" w:color="auto"/>
        <w:right w:val="none" w:sz="0" w:space="0" w:color="auto"/>
      </w:divBdr>
    </w:div>
    <w:div w:id="997999006">
      <w:bodyDiv w:val="1"/>
      <w:marLeft w:val="0"/>
      <w:marRight w:val="0"/>
      <w:marTop w:val="0"/>
      <w:marBottom w:val="0"/>
      <w:divBdr>
        <w:top w:val="none" w:sz="0" w:space="0" w:color="auto"/>
        <w:left w:val="none" w:sz="0" w:space="0" w:color="auto"/>
        <w:bottom w:val="none" w:sz="0" w:space="0" w:color="auto"/>
        <w:right w:val="none" w:sz="0" w:space="0" w:color="auto"/>
      </w:divBdr>
    </w:div>
    <w:div w:id="1046416010">
      <w:bodyDiv w:val="1"/>
      <w:marLeft w:val="0"/>
      <w:marRight w:val="0"/>
      <w:marTop w:val="0"/>
      <w:marBottom w:val="0"/>
      <w:divBdr>
        <w:top w:val="none" w:sz="0" w:space="0" w:color="auto"/>
        <w:left w:val="none" w:sz="0" w:space="0" w:color="auto"/>
        <w:bottom w:val="none" w:sz="0" w:space="0" w:color="auto"/>
        <w:right w:val="none" w:sz="0" w:space="0" w:color="auto"/>
      </w:divBdr>
    </w:div>
    <w:div w:id="1074277599">
      <w:bodyDiv w:val="1"/>
      <w:marLeft w:val="0"/>
      <w:marRight w:val="0"/>
      <w:marTop w:val="0"/>
      <w:marBottom w:val="0"/>
      <w:divBdr>
        <w:top w:val="none" w:sz="0" w:space="0" w:color="auto"/>
        <w:left w:val="none" w:sz="0" w:space="0" w:color="auto"/>
        <w:bottom w:val="none" w:sz="0" w:space="0" w:color="auto"/>
        <w:right w:val="none" w:sz="0" w:space="0" w:color="auto"/>
      </w:divBdr>
    </w:div>
    <w:div w:id="1110198673">
      <w:bodyDiv w:val="1"/>
      <w:marLeft w:val="0"/>
      <w:marRight w:val="0"/>
      <w:marTop w:val="0"/>
      <w:marBottom w:val="0"/>
      <w:divBdr>
        <w:top w:val="none" w:sz="0" w:space="0" w:color="auto"/>
        <w:left w:val="none" w:sz="0" w:space="0" w:color="auto"/>
        <w:bottom w:val="none" w:sz="0" w:space="0" w:color="auto"/>
        <w:right w:val="none" w:sz="0" w:space="0" w:color="auto"/>
      </w:divBdr>
    </w:div>
    <w:div w:id="1207840307">
      <w:bodyDiv w:val="1"/>
      <w:marLeft w:val="0"/>
      <w:marRight w:val="0"/>
      <w:marTop w:val="0"/>
      <w:marBottom w:val="0"/>
      <w:divBdr>
        <w:top w:val="none" w:sz="0" w:space="0" w:color="auto"/>
        <w:left w:val="none" w:sz="0" w:space="0" w:color="auto"/>
        <w:bottom w:val="none" w:sz="0" w:space="0" w:color="auto"/>
        <w:right w:val="none" w:sz="0" w:space="0" w:color="auto"/>
      </w:divBdr>
    </w:div>
    <w:div w:id="1241673016">
      <w:bodyDiv w:val="1"/>
      <w:marLeft w:val="0"/>
      <w:marRight w:val="0"/>
      <w:marTop w:val="0"/>
      <w:marBottom w:val="0"/>
      <w:divBdr>
        <w:top w:val="none" w:sz="0" w:space="0" w:color="auto"/>
        <w:left w:val="none" w:sz="0" w:space="0" w:color="auto"/>
        <w:bottom w:val="none" w:sz="0" w:space="0" w:color="auto"/>
        <w:right w:val="none" w:sz="0" w:space="0" w:color="auto"/>
      </w:divBdr>
    </w:div>
    <w:div w:id="1308828047">
      <w:bodyDiv w:val="1"/>
      <w:marLeft w:val="0"/>
      <w:marRight w:val="0"/>
      <w:marTop w:val="0"/>
      <w:marBottom w:val="0"/>
      <w:divBdr>
        <w:top w:val="none" w:sz="0" w:space="0" w:color="auto"/>
        <w:left w:val="none" w:sz="0" w:space="0" w:color="auto"/>
        <w:bottom w:val="none" w:sz="0" w:space="0" w:color="auto"/>
        <w:right w:val="none" w:sz="0" w:space="0" w:color="auto"/>
      </w:divBdr>
    </w:div>
    <w:div w:id="1374504763">
      <w:bodyDiv w:val="1"/>
      <w:marLeft w:val="0"/>
      <w:marRight w:val="0"/>
      <w:marTop w:val="0"/>
      <w:marBottom w:val="0"/>
      <w:divBdr>
        <w:top w:val="none" w:sz="0" w:space="0" w:color="auto"/>
        <w:left w:val="none" w:sz="0" w:space="0" w:color="auto"/>
        <w:bottom w:val="none" w:sz="0" w:space="0" w:color="auto"/>
        <w:right w:val="none" w:sz="0" w:space="0" w:color="auto"/>
      </w:divBdr>
    </w:div>
    <w:div w:id="1434977619">
      <w:bodyDiv w:val="1"/>
      <w:marLeft w:val="0"/>
      <w:marRight w:val="0"/>
      <w:marTop w:val="0"/>
      <w:marBottom w:val="0"/>
      <w:divBdr>
        <w:top w:val="none" w:sz="0" w:space="0" w:color="auto"/>
        <w:left w:val="none" w:sz="0" w:space="0" w:color="auto"/>
        <w:bottom w:val="none" w:sz="0" w:space="0" w:color="auto"/>
        <w:right w:val="none" w:sz="0" w:space="0" w:color="auto"/>
      </w:divBdr>
    </w:div>
    <w:div w:id="1641569115">
      <w:bodyDiv w:val="1"/>
      <w:marLeft w:val="0"/>
      <w:marRight w:val="0"/>
      <w:marTop w:val="0"/>
      <w:marBottom w:val="0"/>
      <w:divBdr>
        <w:top w:val="none" w:sz="0" w:space="0" w:color="auto"/>
        <w:left w:val="none" w:sz="0" w:space="0" w:color="auto"/>
        <w:bottom w:val="none" w:sz="0" w:space="0" w:color="auto"/>
        <w:right w:val="none" w:sz="0" w:space="0" w:color="auto"/>
      </w:divBdr>
    </w:div>
    <w:div w:id="1646279781">
      <w:bodyDiv w:val="1"/>
      <w:marLeft w:val="0"/>
      <w:marRight w:val="0"/>
      <w:marTop w:val="0"/>
      <w:marBottom w:val="0"/>
      <w:divBdr>
        <w:top w:val="none" w:sz="0" w:space="0" w:color="auto"/>
        <w:left w:val="none" w:sz="0" w:space="0" w:color="auto"/>
        <w:bottom w:val="none" w:sz="0" w:space="0" w:color="auto"/>
        <w:right w:val="none" w:sz="0" w:space="0" w:color="auto"/>
      </w:divBdr>
      <w:divsChild>
        <w:div w:id="94449686">
          <w:marLeft w:val="0"/>
          <w:marRight w:val="0"/>
          <w:marTop w:val="0"/>
          <w:marBottom w:val="0"/>
          <w:divBdr>
            <w:top w:val="none" w:sz="0" w:space="0" w:color="auto"/>
            <w:left w:val="none" w:sz="0" w:space="0" w:color="auto"/>
            <w:bottom w:val="none" w:sz="0" w:space="0" w:color="auto"/>
            <w:right w:val="none" w:sz="0" w:space="0" w:color="auto"/>
          </w:divBdr>
        </w:div>
      </w:divsChild>
    </w:div>
    <w:div w:id="1672952205">
      <w:bodyDiv w:val="1"/>
      <w:marLeft w:val="0"/>
      <w:marRight w:val="0"/>
      <w:marTop w:val="0"/>
      <w:marBottom w:val="0"/>
      <w:divBdr>
        <w:top w:val="none" w:sz="0" w:space="0" w:color="auto"/>
        <w:left w:val="none" w:sz="0" w:space="0" w:color="auto"/>
        <w:bottom w:val="none" w:sz="0" w:space="0" w:color="auto"/>
        <w:right w:val="none" w:sz="0" w:space="0" w:color="auto"/>
      </w:divBdr>
    </w:div>
    <w:div w:id="1707943682">
      <w:bodyDiv w:val="1"/>
      <w:marLeft w:val="0"/>
      <w:marRight w:val="0"/>
      <w:marTop w:val="0"/>
      <w:marBottom w:val="0"/>
      <w:divBdr>
        <w:top w:val="none" w:sz="0" w:space="0" w:color="auto"/>
        <w:left w:val="none" w:sz="0" w:space="0" w:color="auto"/>
        <w:bottom w:val="none" w:sz="0" w:space="0" w:color="auto"/>
        <w:right w:val="none" w:sz="0" w:space="0" w:color="auto"/>
      </w:divBdr>
      <w:divsChild>
        <w:div w:id="1585334690">
          <w:marLeft w:val="0"/>
          <w:marRight w:val="0"/>
          <w:marTop w:val="0"/>
          <w:marBottom w:val="0"/>
          <w:divBdr>
            <w:top w:val="none" w:sz="0" w:space="0" w:color="auto"/>
            <w:left w:val="none" w:sz="0" w:space="0" w:color="auto"/>
            <w:bottom w:val="none" w:sz="0" w:space="0" w:color="auto"/>
            <w:right w:val="none" w:sz="0" w:space="0" w:color="auto"/>
          </w:divBdr>
        </w:div>
      </w:divsChild>
    </w:div>
    <w:div w:id="1815559243">
      <w:bodyDiv w:val="1"/>
      <w:marLeft w:val="0"/>
      <w:marRight w:val="0"/>
      <w:marTop w:val="0"/>
      <w:marBottom w:val="0"/>
      <w:divBdr>
        <w:top w:val="none" w:sz="0" w:space="0" w:color="auto"/>
        <w:left w:val="none" w:sz="0" w:space="0" w:color="auto"/>
        <w:bottom w:val="none" w:sz="0" w:space="0" w:color="auto"/>
        <w:right w:val="none" w:sz="0" w:space="0" w:color="auto"/>
      </w:divBdr>
    </w:div>
    <w:div w:id="183837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leg.wa.gov/wac/default.aspx?cite=246-254-030" TargetMode="External"/><Relationship Id="rId18" Type="http://schemas.openxmlformats.org/officeDocument/2006/relationships/image" Target="media/image1.png"/><Relationship Id="rId26" Type="http://schemas.openxmlformats.org/officeDocument/2006/relationships/image" Target="media/image4.png"/><Relationship Id="rId39" Type="http://schemas.openxmlformats.org/officeDocument/2006/relationships/header" Target="header1.xml"/><Relationship Id="rId21" Type="http://schemas.openxmlformats.org/officeDocument/2006/relationships/hyperlink" Target="https://app.leg.wa.gov/RCW/default.aspx?cite=70A.388" TargetMode="External"/><Relationship Id="rId34" Type="http://schemas.openxmlformats.org/officeDocument/2006/relationships/hyperlink" Target="https://app.leg.wa.gov/rcw/default.aspx?cite=70A.388&amp;full=true"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pp.leg.wa.gov/WAC/default.aspx?cite=246-254-100" TargetMode="External"/><Relationship Id="rId20" Type="http://schemas.openxmlformats.org/officeDocument/2006/relationships/image" Target="media/image3.png"/><Relationship Id="rId29" Type="http://schemas.openxmlformats.org/officeDocument/2006/relationships/image" Target="media/image7.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leg.wa.gov/RCW/default.aspx?cite=70A.388" TargetMode="External"/><Relationship Id="rId24" Type="http://schemas.openxmlformats.org/officeDocument/2006/relationships/hyperlink" Target="https://app.leg.wa.gov/wac/default.aspx?cite=246-254-140" TargetMode="External"/><Relationship Id="rId32" Type="http://schemas.openxmlformats.org/officeDocument/2006/relationships/hyperlink" Target="https://app.leg.wa.gov/RCW/default.aspx?cite=43.70.250" TargetMode="External"/><Relationship Id="rId37" Type="http://schemas.openxmlformats.org/officeDocument/2006/relationships/image" Target="media/image9.png"/><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pp.leg.wa.gov/WAC/default.aspx?cite=246-254-090" TargetMode="External"/><Relationship Id="rId23" Type="http://schemas.openxmlformats.org/officeDocument/2006/relationships/hyperlink" Target="https://app.leg.wa.gov/wac/default.aspx?cite=246-254-130" TargetMode="External"/><Relationship Id="rId28" Type="http://schemas.openxmlformats.org/officeDocument/2006/relationships/image" Target="media/image6.png"/><Relationship Id="rId36"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app.leg.wa.gov/rcw/default.aspx?cite=43.70.1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leg.wa.gov/WAC/default.aspx?cite=246-254-053" TargetMode="External"/><Relationship Id="rId22" Type="http://schemas.openxmlformats.org/officeDocument/2006/relationships/hyperlink" Target="https://apps.leg.wa.gov/RCW/default.aspx?cite=43.70.250" TargetMode="External"/><Relationship Id="rId27" Type="http://schemas.openxmlformats.org/officeDocument/2006/relationships/image" Target="media/image5.png"/><Relationship Id="rId30" Type="http://schemas.openxmlformats.org/officeDocument/2006/relationships/hyperlink" Target="https://app.leg.wa.gov/RCW/default.aspx?cite=70A.388" TargetMode="External"/><Relationship Id="rId35" Type="http://schemas.openxmlformats.org/officeDocument/2006/relationships/hyperlink" Target="https://app.leg.wa.gov/WAC/default.aspx?cite=246-254-053&amp;pdf=true" TargetMode="External"/><Relationship Id="rId43" Type="http://schemas.microsoft.com/office/2019/05/relationships/documenttasks" Target="documenttasks/documenttasks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pps.leg.wa.gov/RCW/default.aspx?cite=43.70.250" TargetMode="External"/><Relationship Id="rId17" Type="http://schemas.openxmlformats.org/officeDocument/2006/relationships/hyperlink" Target="https://app.leg.wa.gov/WAC/default.aspx?cite=246-254-120" TargetMode="External"/><Relationship Id="rId25" Type="http://schemas.openxmlformats.org/officeDocument/2006/relationships/hyperlink" Target="https://app.leg.wa.gov/wac/default.aspx?cite=246-254-150" TargetMode="External"/><Relationship Id="rId33" Type="http://schemas.openxmlformats.org/officeDocument/2006/relationships/hyperlink" Target="https://app.leg.wa.gov/RCW/default.aspx?cite=43.20B.020" TargetMode="External"/><Relationship Id="rId38" Type="http://schemas.openxmlformats.org/officeDocument/2006/relationships/image" Target="media/image10.png"/></Relationships>
</file>

<file path=word/documenttasks/documenttasks1.xml><?xml version="1.0" encoding="utf-8"?>
<t:Tasks xmlns:t="http://schemas.microsoft.com/office/tasks/2019/documenttasks" xmlns:oel="http://schemas.microsoft.com/office/2019/extlst">
  <t:Task id="{8EE626EA-ED04-4FA1-941C-49C4F54047E2}">
    <t:Anchor>
      <t:Comment id="1354908847"/>
    </t:Anchor>
    <t:History>
      <t:Event id="{F523E80D-E8E7-450A-9A74-154E38D639D4}" time="2025-07-02T02:40:03.555Z">
        <t:Attribution userId="S::Jayme.Hills@doh.wa.gov::95a1acbc-6dbe-4edc-a68e-9ddfad04304e" userProvider="AD" userName="Hills, Jayme L (DOH)"/>
        <t:Anchor>
          <t:Comment id="1354908847"/>
        </t:Anchor>
        <t:Create/>
      </t:Event>
      <t:Event id="{C1611B57-1B8F-44E8-8481-58A84D9C5F24}" time="2025-07-02T02:40:03.555Z">
        <t:Attribution userId="S::Jayme.Hills@doh.wa.gov::95a1acbc-6dbe-4edc-a68e-9ddfad04304e" userProvider="AD" userName="Hills, Jayme L (DOH)"/>
        <t:Anchor>
          <t:Comment id="1354908847"/>
        </t:Anchor>
        <t:Assign userId="S::Jeanna.Sieving@doh.wa.gov::49aa2150-2ebe-4bbe-bb27-c6899ba5004b" userProvider="AD" userName="Sieving, Jeanna M (DOH)"/>
      </t:Event>
      <t:Event id="{01E70180-AF99-46C2-8B1D-D6E5A4D50F6D}" time="2025-07-02T02:40:03.555Z">
        <t:Attribution userId="S::Jayme.Hills@doh.wa.gov::95a1acbc-6dbe-4edc-a68e-9ddfad04304e" userProvider="AD" userName="Hills, Jayme L (DOH)"/>
        <t:Anchor>
          <t:Comment id="1354908847"/>
        </t:Anchor>
        <t:SetTitle title="@Sieving, Jeanna M (DOH) Spacing or no spacing...these columns in this table are not formatted the sam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9481a70-35b0-4b8b-a7ee-b612235177f8">
      <Terms xmlns="http://schemas.microsoft.com/office/infopath/2007/PartnerControls"/>
    </lcf76f155ced4ddcb4097134ff3c332f>
    <TaxCatchAll xmlns="a3bc4ead-81a3-429b-b226-64c90ab4827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A60FE9E72A0B46B2C2F3CF131C5189" ma:contentTypeVersion="16" ma:contentTypeDescription="Create a new document." ma:contentTypeScope="" ma:versionID="7dbb0df0f1324079d78bac50efb952d6">
  <xsd:schema xmlns:xsd="http://www.w3.org/2001/XMLSchema" xmlns:xs="http://www.w3.org/2001/XMLSchema" xmlns:p="http://schemas.microsoft.com/office/2006/metadata/properties" xmlns:ns1="http://schemas.microsoft.com/sharepoint/v3" xmlns:ns2="19481a70-35b0-4b8b-a7ee-b612235177f8" xmlns:ns3="a3bc4ead-81a3-429b-b226-64c90ab4827f" targetNamespace="http://schemas.microsoft.com/office/2006/metadata/properties" ma:root="true" ma:fieldsID="4b05769fd710c423381e4c40fb6eab90" ns1:_="" ns2:_="" ns3:_="">
    <xsd:import namespace="http://schemas.microsoft.com/sharepoint/v3"/>
    <xsd:import namespace="19481a70-35b0-4b8b-a7ee-b612235177f8"/>
    <xsd:import namespace="a3bc4ead-81a3-429b-b226-64c90ab4827f"/>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481a70-35b0-4b8b-a7ee-b61223517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bc4ead-81a3-429b-b226-64c90ab482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491fba4-8a6d-4091-9126-48be3248adc1}" ma:internalName="TaxCatchAll" ma:showField="CatchAllData" ma:web="a3bc4ead-81a3-429b-b226-64c90ab482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037702-659A-4E3A-9805-2B9A6E573BF2}">
  <ds:schemaRef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a3bc4ead-81a3-429b-b226-64c90ab4827f"/>
    <ds:schemaRef ds:uri="http://schemas.microsoft.com/sharepoint/v3"/>
    <ds:schemaRef ds:uri="http://purl.org/dc/dcmitype/"/>
    <ds:schemaRef ds:uri="http://www.w3.org/XML/1998/namespace"/>
    <ds:schemaRef ds:uri="19481a70-35b0-4b8b-a7ee-b612235177f8"/>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E35E5EF-869F-4495-8B9C-49597E5DDAD5}">
  <ds:schemaRefs>
    <ds:schemaRef ds:uri="http://schemas.openxmlformats.org/officeDocument/2006/bibliography"/>
  </ds:schemaRefs>
</ds:datastoreItem>
</file>

<file path=customXml/itemProps3.xml><?xml version="1.0" encoding="utf-8"?>
<ds:datastoreItem xmlns:ds="http://schemas.openxmlformats.org/officeDocument/2006/customXml" ds:itemID="{27AB35D5-B1C3-4194-AF28-6A824A48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81a70-35b0-4b8b-a7ee-b612235177f8"/>
    <ds:schemaRef ds:uri="a3bc4ead-81a3-429b-b226-64c90ab48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3115B-0CB6-4C18-9813-F1B7D926BA26}">
  <ds:schemaRefs>
    <ds:schemaRef ds:uri="http://schemas.microsoft.com/sharepoint/v3/contenttype/forms"/>
  </ds:schemaRefs>
</ds:datastoreItem>
</file>

<file path=docMetadata/LabelInfo.xml><?xml version="1.0" encoding="utf-8"?>
<clbl:labelList xmlns:clbl="http://schemas.microsoft.com/office/2020/mipLabelMetadata">
  <clbl:label id="{1520fa42-cf58-4c22-8b93-58cf1d3bd1cb}" enabled="1" method="Standard" siteId="{11d0e217-264e-400a-8ba0-57dcc127d72d}" removed="0"/>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4109</Words>
  <Characters>23425</Characters>
  <Application>Microsoft Office Word</Application>
  <DocSecurity>4</DocSecurity>
  <Lines>195</Lines>
  <Paragraphs>54</Paragraphs>
  <ScaleCrop>false</ScaleCrop>
  <HeadingPairs>
    <vt:vector size="2" baseType="variant">
      <vt:variant>
        <vt:lpstr>Title</vt:lpstr>
      </vt:variant>
      <vt:variant>
        <vt:i4>1</vt:i4>
      </vt:variant>
    </vt:vector>
  </HeadingPairs>
  <TitlesOfParts>
    <vt:vector size="1" baseType="lpstr">
      <vt:lpstr>ORP Rulemaking - Fees Economic Impact Analysis Report</vt:lpstr>
    </vt:vector>
  </TitlesOfParts>
  <Company>Washington State Department of Health</Company>
  <LinksUpToDate>false</LinksUpToDate>
  <CharactersWithSpaces>27480</CharactersWithSpaces>
  <SharedDoc>false</SharedDoc>
  <HLinks>
    <vt:vector size="132" baseType="variant">
      <vt:variant>
        <vt:i4>5701715</vt:i4>
      </vt:variant>
      <vt:variant>
        <vt:i4>90</vt:i4>
      </vt:variant>
      <vt:variant>
        <vt:i4>0</vt:i4>
      </vt:variant>
      <vt:variant>
        <vt:i4>5</vt:i4>
      </vt:variant>
      <vt:variant>
        <vt:lpwstr>https://app.leg.wa.gov/WAC/default.aspx?cite=246-254-053&amp;pdf=true</vt:lpwstr>
      </vt:variant>
      <vt:variant>
        <vt:lpwstr/>
      </vt:variant>
      <vt:variant>
        <vt:i4>2949232</vt:i4>
      </vt:variant>
      <vt:variant>
        <vt:i4>87</vt:i4>
      </vt:variant>
      <vt:variant>
        <vt:i4>0</vt:i4>
      </vt:variant>
      <vt:variant>
        <vt:i4>5</vt:i4>
      </vt:variant>
      <vt:variant>
        <vt:lpwstr>https://app.leg.wa.gov/rcw/default.aspx?cite=70A.388&amp;full=true</vt:lpwstr>
      </vt:variant>
      <vt:variant>
        <vt:lpwstr/>
      </vt:variant>
      <vt:variant>
        <vt:i4>6684731</vt:i4>
      </vt:variant>
      <vt:variant>
        <vt:i4>75</vt:i4>
      </vt:variant>
      <vt:variant>
        <vt:i4>0</vt:i4>
      </vt:variant>
      <vt:variant>
        <vt:i4>5</vt:i4>
      </vt:variant>
      <vt:variant>
        <vt:lpwstr>https://app.leg.wa.gov/RCW/default.aspx?cite=43.20B.020</vt:lpwstr>
      </vt:variant>
      <vt:variant>
        <vt:lpwstr/>
      </vt:variant>
      <vt:variant>
        <vt:i4>7864439</vt:i4>
      </vt:variant>
      <vt:variant>
        <vt:i4>72</vt:i4>
      </vt:variant>
      <vt:variant>
        <vt:i4>0</vt:i4>
      </vt:variant>
      <vt:variant>
        <vt:i4>5</vt:i4>
      </vt:variant>
      <vt:variant>
        <vt:lpwstr>https://app.leg.wa.gov/RCW/default.aspx?cite=43.70.250</vt:lpwstr>
      </vt:variant>
      <vt:variant>
        <vt:lpwstr/>
      </vt:variant>
      <vt:variant>
        <vt:i4>8061043</vt:i4>
      </vt:variant>
      <vt:variant>
        <vt:i4>69</vt:i4>
      </vt:variant>
      <vt:variant>
        <vt:i4>0</vt:i4>
      </vt:variant>
      <vt:variant>
        <vt:i4>5</vt:i4>
      </vt:variant>
      <vt:variant>
        <vt:lpwstr>https://app.leg.wa.gov/rcw/default.aspx?cite=43.70.110</vt:lpwstr>
      </vt:variant>
      <vt:variant>
        <vt:lpwstr/>
      </vt:variant>
      <vt:variant>
        <vt:i4>852046</vt:i4>
      </vt:variant>
      <vt:variant>
        <vt:i4>66</vt:i4>
      </vt:variant>
      <vt:variant>
        <vt:i4>0</vt:i4>
      </vt:variant>
      <vt:variant>
        <vt:i4>5</vt:i4>
      </vt:variant>
      <vt:variant>
        <vt:lpwstr>https://app.leg.wa.gov/RCW/default.aspx?cite=70A.388</vt:lpwstr>
      </vt:variant>
      <vt:variant>
        <vt:lpwstr/>
      </vt:variant>
      <vt:variant>
        <vt:i4>4325470</vt:i4>
      </vt:variant>
      <vt:variant>
        <vt:i4>63</vt:i4>
      </vt:variant>
      <vt:variant>
        <vt:i4>0</vt:i4>
      </vt:variant>
      <vt:variant>
        <vt:i4>5</vt:i4>
      </vt:variant>
      <vt:variant>
        <vt:lpwstr>https://app.leg.wa.gov/wac/default.aspx?cite=246-254-150</vt:lpwstr>
      </vt:variant>
      <vt:variant>
        <vt:lpwstr/>
      </vt:variant>
      <vt:variant>
        <vt:i4>4325471</vt:i4>
      </vt:variant>
      <vt:variant>
        <vt:i4>60</vt:i4>
      </vt:variant>
      <vt:variant>
        <vt:i4>0</vt:i4>
      </vt:variant>
      <vt:variant>
        <vt:i4>5</vt:i4>
      </vt:variant>
      <vt:variant>
        <vt:lpwstr>https://app.leg.wa.gov/wac/default.aspx?cite=246-254-140</vt:lpwstr>
      </vt:variant>
      <vt:variant>
        <vt:lpwstr/>
      </vt:variant>
      <vt:variant>
        <vt:i4>4325464</vt:i4>
      </vt:variant>
      <vt:variant>
        <vt:i4>57</vt:i4>
      </vt:variant>
      <vt:variant>
        <vt:i4>0</vt:i4>
      </vt:variant>
      <vt:variant>
        <vt:i4>5</vt:i4>
      </vt:variant>
      <vt:variant>
        <vt:lpwstr>https://app.leg.wa.gov/wac/default.aspx?cite=246-254-130</vt:lpwstr>
      </vt:variant>
      <vt:variant>
        <vt:lpwstr/>
      </vt:variant>
      <vt:variant>
        <vt:i4>3407992</vt:i4>
      </vt:variant>
      <vt:variant>
        <vt:i4>51</vt:i4>
      </vt:variant>
      <vt:variant>
        <vt:i4>0</vt:i4>
      </vt:variant>
      <vt:variant>
        <vt:i4>5</vt:i4>
      </vt:variant>
      <vt:variant>
        <vt:lpwstr>https://apps.leg.wa.gov/RCW/default.aspx?cite=43.70.250</vt:lpwstr>
      </vt:variant>
      <vt:variant>
        <vt:lpwstr/>
      </vt:variant>
      <vt:variant>
        <vt:i4>852046</vt:i4>
      </vt:variant>
      <vt:variant>
        <vt:i4>45</vt:i4>
      </vt:variant>
      <vt:variant>
        <vt:i4>0</vt:i4>
      </vt:variant>
      <vt:variant>
        <vt:i4>5</vt:i4>
      </vt:variant>
      <vt:variant>
        <vt:lpwstr>https://app.leg.wa.gov/RCW/default.aspx?cite=70A.388</vt:lpwstr>
      </vt:variant>
      <vt:variant>
        <vt:lpwstr/>
      </vt:variant>
      <vt:variant>
        <vt:i4>4325465</vt:i4>
      </vt:variant>
      <vt:variant>
        <vt:i4>42</vt:i4>
      </vt:variant>
      <vt:variant>
        <vt:i4>0</vt:i4>
      </vt:variant>
      <vt:variant>
        <vt:i4>5</vt:i4>
      </vt:variant>
      <vt:variant>
        <vt:lpwstr>https://app.leg.wa.gov/WAC/default.aspx?cite=246-254-120</vt:lpwstr>
      </vt:variant>
      <vt:variant>
        <vt:lpwstr/>
      </vt:variant>
      <vt:variant>
        <vt:i4>4325467</vt:i4>
      </vt:variant>
      <vt:variant>
        <vt:i4>39</vt:i4>
      </vt:variant>
      <vt:variant>
        <vt:i4>0</vt:i4>
      </vt:variant>
      <vt:variant>
        <vt:i4>5</vt:i4>
      </vt:variant>
      <vt:variant>
        <vt:lpwstr>https://app.leg.wa.gov/WAC/default.aspx?cite=246-254-100</vt:lpwstr>
      </vt:variant>
      <vt:variant>
        <vt:lpwstr/>
      </vt:variant>
      <vt:variant>
        <vt:i4>4390994</vt:i4>
      </vt:variant>
      <vt:variant>
        <vt:i4>36</vt:i4>
      </vt:variant>
      <vt:variant>
        <vt:i4>0</vt:i4>
      </vt:variant>
      <vt:variant>
        <vt:i4>5</vt:i4>
      </vt:variant>
      <vt:variant>
        <vt:lpwstr>https://app.leg.wa.gov/WAC/default.aspx?cite=246-254-090</vt:lpwstr>
      </vt:variant>
      <vt:variant>
        <vt:lpwstr/>
      </vt:variant>
      <vt:variant>
        <vt:i4>4194398</vt:i4>
      </vt:variant>
      <vt:variant>
        <vt:i4>33</vt:i4>
      </vt:variant>
      <vt:variant>
        <vt:i4>0</vt:i4>
      </vt:variant>
      <vt:variant>
        <vt:i4>5</vt:i4>
      </vt:variant>
      <vt:variant>
        <vt:lpwstr>https://app.leg.wa.gov/WAC/default.aspx?cite=246-254-053</vt:lpwstr>
      </vt:variant>
      <vt:variant>
        <vt:lpwstr/>
      </vt:variant>
      <vt:variant>
        <vt:i4>4391000</vt:i4>
      </vt:variant>
      <vt:variant>
        <vt:i4>30</vt:i4>
      </vt:variant>
      <vt:variant>
        <vt:i4>0</vt:i4>
      </vt:variant>
      <vt:variant>
        <vt:i4>5</vt:i4>
      </vt:variant>
      <vt:variant>
        <vt:lpwstr>https://app.leg.wa.gov/wac/default.aspx?cite=246-254-030</vt:lpwstr>
      </vt:variant>
      <vt:variant>
        <vt:lpwstr/>
      </vt:variant>
      <vt:variant>
        <vt:i4>3407992</vt:i4>
      </vt:variant>
      <vt:variant>
        <vt:i4>27</vt:i4>
      </vt:variant>
      <vt:variant>
        <vt:i4>0</vt:i4>
      </vt:variant>
      <vt:variant>
        <vt:i4>5</vt:i4>
      </vt:variant>
      <vt:variant>
        <vt:lpwstr>https://apps.leg.wa.gov/RCW/default.aspx?cite=43.70.250</vt:lpwstr>
      </vt:variant>
      <vt:variant>
        <vt:lpwstr/>
      </vt:variant>
      <vt:variant>
        <vt:i4>852046</vt:i4>
      </vt:variant>
      <vt:variant>
        <vt:i4>21</vt:i4>
      </vt:variant>
      <vt:variant>
        <vt:i4>0</vt:i4>
      </vt:variant>
      <vt:variant>
        <vt:i4>5</vt:i4>
      </vt:variant>
      <vt:variant>
        <vt:lpwstr>https://app.leg.wa.gov/RCW/default.aspx?cite=70A.388</vt:lpwstr>
      </vt:variant>
      <vt:variant>
        <vt:lpwstr/>
      </vt:variant>
      <vt:variant>
        <vt:i4>1310778</vt:i4>
      </vt:variant>
      <vt:variant>
        <vt:i4>14</vt:i4>
      </vt:variant>
      <vt:variant>
        <vt:i4>0</vt:i4>
      </vt:variant>
      <vt:variant>
        <vt:i4>5</vt:i4>
      </vt:variant>
      <vt:variant>
        <vt:lpwstr/>
      </vt:variant>
      <vt:variant>
        <vt:lpwstr>_Toc201309994</vt:lpwstr>
      </vt:variant>
      <vt:variant>
        <vt:i4>1310778</vt:i4>
      </vt:variant>
      <vt:variant>
        <vt:i4>8</vt:i4>
      </vt:variant>
      <vt:variant>
        <vt:i4>0</vt:i4>
      </vt:variant>
      <vt:variant>
        <vt:i4>5</vt:i4>
      </vt:variant>
      <vt:variant>
        <vt:lpwstr/>
      </vt:variant>
      <vt:variant>
        <vt:lpwstr>_Toc201309993</vt:lpwstr>
      </vt:variant>
      <vt:variant>
        <vt:i4>1310778</vt:i4>
      </vt:variant>
      <vt:variant>
        <vt:i4>2</vt:i4>
      </vt:variant>
      <vt:variant>
        <vt:i4>0</vt:i4>
      </vt:variant>
      <vt:variant>
        <vt:i4>5</vt:i4>
      </vt:variant>
      <vt:variant>
        <vt:lpwstr/>
      </vt:variant>
      <vt:variant>
        <vt:lpwstr>_Toc201309992</vt:lpwstr>
      </vt:variant>
      <vt:variant>
        <vt:i4>37</vt:i4>
      </vt:variant>
      <vt:variant>
        <vt:i4>0</vt:i4>
      </vt:variant>
      <vt:variant>
        <vt:i4>0</vt:i4>
      </vt:variant>
      <vt:variant>
        <vt:i4>5</vt:i4>
      </vt:variant>
      <vt:variant>
        <vt:lpwstr>mailto:Katitza.Holthaus@doh.wa.gov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ORP Rulemaking - Fees Economic Impact Analysis Report</dc:title>
  <dc:subject/>
  <dc:creator>Washington State Department of Health</dc:creator>
  <cp:keywords/>
  <dc:description/>
  <cp:lastModifiedBy>Hamilton, Ben  (DOH)</cp:lastModifiedBy>
  <cp:revision>2</cp:revision>
  <cp:lastPrinted>2020-08-29T21:25:00Z</cp:lastPrinted>
  <dcterms:created xsi:type="dcterms:W3CDTF">2025-07-11T22:08:00Z</dcterms:created>
  <dcterms:modified xsi:type="dcterms:W3CDTF">2025-07-11T22:08:00Z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0x0101008AA60FE9E72A0B46B2C2F3CF131C5189</vt:lpwstr>
  </property>
  <property fmtid="{D5CDD505-2E9C-101B-9397-08002B2CF9AE}" pid="3" name="_dlc_DocIdItemGuid">
    <vt:lpwstr>c7d1fd29-7d14-4415-9596-fca59399176b</vt:lpwstr>
  </property>
  <property fmtid="{D5CDD505-2E9C-101B-9397-08002B2CF9AE}" pid="4" name="MSIP_Label_1520fa42-cf58-4c22-8b93-58cf1d3bd1cb_Enabled">
    <vt:lpwstr>true</vt:lpwstr>
  </property>
  <property fmtid="{D5CDD505-2E9C-101B-9397-08002B2CF9AE}" pid="5" name="MSIP_Label_1520fa42-cf58-4c22-8b93-58cf1d3bd1cb_SetDate">
    <vt:lpwstr>2022-06-29T17:00:11Z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cb4e4c0b-3d6e-4568-b432-cbc38bd9a430</vt:lpwstr>
  </property>
  <property fmtid="{D5CDD505-2E9C-101B-9397-08002B2CF9AE}" pid="10" name="MSIP_Label_1520fa42-cf58-4c22-8b93-58cf1d3bd1cb_ContentBits">
    <vt:lpwstr>0</vt:lpwstr>
  </property>
  <property fmtid="{D5CDD505-2E9C-101B-9397-08002B2CF9AE}" pid="11" name="MediaServiceImageTags">
    <vt:lpwstr/>
  </property>
</Properties>
</file>