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jc w:val="center"/>
        <w:tblCellMar>
          <w:top w:w="72" w:type="dxa"/>
          <w:left w:w="72" w:type="dxa"/>
          <w:bottom w:w="72" w:type="dxa"/>
          <w:right w:w="72" w:type="dxa"/>
        </w:tblCellMar>
        <w:tblLook w:val="0000"/>
      </w:tblPr>
      <w:tblGrid>
        <w:gridCol w:w="1530"/>
        <w:gridCol w:w="12870"/>
      </w:tblGrid>
      <w:tr w:rsidR="003214AE">
        <w:trPr>
          <w:trHeight w:hRule="exact" w:val="576"/>
          <w:jc w:val="center"/>
        </w:trPr>
        <w:tc>
          <w:tcPr>
            <w:tcW w:w="1530" w:type="dxa"/>
            <w:vAlign w:val="center"/>
          </w:tcPr>
          <w:p w:rsidR="003214AE" w:rsidRPr="00813616" w:rsidRDefault="003214AE" w:rsidP="00090896">
            <w:pPr>
              <w:pStyle w:val="Header"/>
              <w:jc w:val="center"/>
              <w:rPr>
                <w:rFonts w:ascii="Arial" w:hAnsi="Arial" w:cs="Arial"/>
                <w:b/>
                <w:bCs/>
                <w:sz w:val="20"/>
              </w:rPr>
            </w:pPr>
            <w:r w:rsidRPr="00813616">
              <w:rPr>
                <w:rFonts w:ascii="Arial" w:hAnsi="Arial" w:cs="Arial"/>
                <w:b/>
                <w:bCs/>
                <w:sz w:val="20"/>
              </w:rPr>
              <w:t>Planning Segment #</w:t>
            </w:r>
            <w:r>
              <w:rPr>
                <w:rFonts w:ascii="Arial" w:hAnsi="Arial" w:cs="Arial"/>
                <w:b/>
                <w:bCs/>
                <w:sz w:val="20"/>
              </w:rPr>
              <w:t>3</w:t>
            </w:r>
          </w:p>
        </w:tc>
        <w:tc>
          <w:tcPr>
            <w:tcW w:w="12870" w:type="dxa"/>
            <w:vAlign w:val="center"/>
          </w:tcPr>
          <w:p w:rsidR="003214AE" w:rsidRPr="00813616" w:rsidRDefault="003214AE" w:rsidP="00090896">
            <w:pPr>
              <w:pStyle w:val="Header"/>
              <w:jc w:val="center"/>
              <w:rPr>
                <w:rFonts w:ascii="Arial" w:hAnsi="Arial" w:cs="Arial"/>
                <w:b/>
                <w:bCs/>
                <w:i/>
                <w:spacing w:val="80"/>
                <w:sz w:val="28"/>
                <w:szCs w:val="28"/>
              </w:rPr>
            </w:pPr>
            <w:r w:rsidRPr="00813616">
              <w:rPr>
                <w:rFonts w:ascii="Arial" w:hAnsi="Arial" w:cs="Arial"/>
                <w:b/>
                <w:bCs/>
                <w:i/>
                <w:spacing w:val="80"/>
                <w:sz w:val="32"/>
                <w:szCs w:val="28"/>
              </w:rPr>
              <w:t>Perspectives</w:t>
            </w:r>
            <w:r>
              <w:rPr>
                <w:rFonts w:ascii="Arial" w:hAnsi="Arial" w:cs="Arial"/>
                <w:b/>
                <w:bCs/>
                <w:i/>
                <w:spacing w:val="80"/>
                <w:sz w:val="32"/>
                <w:szCs w:val="28"/>
              </w:rPr>
              <w:t xml:space="preserve"> on Performance</w:t>
            </w:r>
          </w:p>
        </w:tc>
      </w:tr>
    </w:tbl>
    <w:p w:rsidR="003214AE" w:rsidRDefault="003214AE" w:rsidP="003214AE">
      <w:pPr>
        <w:pStyle w:val="BodyText"/>
        <w:rPr>
          <w:sz w:val="16"/>
        </w:rPr>
      </w:pPr>
    </w:p>
    <w:p w:rsidR="003214AE" w:rsidRDefault="003214AE" w:rsidP="003214AE">
      <w:pPr>
        <w:pStyle w:val="BodyText"/>
        <w:rPr>
          <w:sz w:val="16"/>
        </w:rPr>
      </w:pPr>
    </w:p>
    <w:p w:rsidR="003214AE" w:rsidRPr="00122238" w:rsidRDefault="003214AE" w:rsidP="003214AE">
      <w:pPr>
        <w:widowControl w:val="0"/>
        <w:autoSpaceDE w:val="0"/>
        <w:autoSpaceDN w:val="0"/>
        <w:adjustRightInd w:val="0"/>
        <w:rPr>
          <w:rFonts w:ascii="Arial" w:hAnsi="Arial" w:cs="Arial"/>
          <w:b/>
          <w:bCs/>
          <w:sz w:val="24"/>
          <w:szCs w:val="24"/>
        </w:rPr>
      </w:pPr>
      <w:r w:rsidRPr="00122238">
        <w:rPr>
          <w:rFonts w:ascii="Arial" w:hAnsi="Arial" w:cs="Arial"/>
          <w:b/>
          <w:bCs/>
          <w:sz w:val="24"/>
          <w:szCs w:val="24"/>
        </w:rPr>
        <w:t>Perspectives on Performance</w:t>
      </w:r>
      <w:r>
        <w:rPr>
          <w:rStyle w:val="FootnoteReference"/>
          <w:rFonts w:ascii="Arial" w:hAnsi="Arial" w:cs="Arial"/>
          <w:b/>
          <w:bCs/>
          <w:sz w:val="24"/>
          <w:szCs w:val="24"/>
        </w:rPr>
        <w:footnoteReference w:id="1"/>
      </w:r>
    </w:p>
    <w:p w:rsidR="003214AE" w:rsidRPr="006A5117" w:rsidRDefault="003214AE" w:rsidP="003214AE">
      <w:pPr>
        <w:widowControl w:val="0"/>
        <w:autoSpaceDE w:val="0"/>
        <w:autoSpaceDN w:val="0"/>
        <w:adjustRightInd w:val="0"/>
        <w:rPr>
          <w:rFonts w:ascii="Arial" w:hAnsi="Arial" w:cs="Arial"/>
          <w:sz w:val="20"/>
        </w:rPr>
      </w:pPr>
      <w:r w:rsidRPr="006A5117">
        <w:rPr>
          <w:rFonts w:ascii="Arial" w:hAnsi="Arial" w:cs="Arial"/>
          <w:sz w:val="20"/>
        </w:rPr>
        <w:t>Managing performance is about articulating clear expectations, paying attention to what is going on, and providing actionable feedback to decision-makers up and down the value chain. Your communication about expectations and results is stronger when it is in terms that are clear to your audience. These definitions are intended to help you be clear in communicating about performance measures, so you can engage others in getting the support and results you need.</w:t>
      </w:r>
    </w:p>
    <w:p w:rsidR="003214AE" w:rsidRDefault="003214AE" w:rsidP="003214AE">
      <w:pPr>
        <w:rPr>
          <w:rFonts w:ascii="Arial" w:hAnsi="Arial" w:cs="Arial"/>
          <w:sz w:val="20"/>
        </w:rPr>
      </w:pPr>
    </w:p>
    <w:p w:rsidR="003214AE" w:rsidRPr="00CC6F71" w:rsidRDefault="003214AE" w:rsidP="003214AE">
      <w:pPr>
        <w:rPr>
          <w:rFonts w:ascii="Arial" w:hAnsi="Arial" w:cs="Arial"/>
          <w:b/>
          <w:sz w:val="24"/>
          <w:szCs w:val="24"/>
        </w:rPr>
      </w:pPr>
      <w:r>
        <w:rPr>
          <w:rFonts w:ascii="Arial" w:hAnsi="Arial" w:cs="Arial"/>
          <w:b/>
          <w:sz w:val="24"/>
          <w:szCs w:val="24"/>
        </w:rPr>
        <w:t>Definitions:</w:t>
      </w:r>
    </w:p>
    <w:p w:rsidR="003214AE" w:rsidRPr="006A5117" w:rsidRDefault="003214AE" w:rsidP="003214AE">
      <w:pPr>
        <w:rPr>
          <w:rFonts w:ascii="Arial" w:hAnsi="Arial" w:cs="Arial"/>
          <w:sz w:val="20"/>
        </w:rPr>
      </w:pPr>
    </w:p>
    <w:p w:rsidR="003214AE" w:rsidRPr="006A5117" w:rsidRDefault="003214AE" w:rsidP="003214AE">
      <w:pPr>
        <w:widowControl w:val="0"/>
        <w:autoSpaceDE w:val="0"/>
        <w:autoSpaceDN w:val="0"/>
        <w:adjustRightInd w:val="0"/>
        <w:rPr>
          <w:rFonts w:ascii="Arial" w:hAnsi="Arial" w:cs="Arial"/>
          <w:sz w:val="20"/>
        </w:rPr>
      </w:pPr>
      <w:r w:rsidRPr="006A5117">
        <w:rPr>
          <w:rFonts w:ascii="Arial" w:hAnsi="Arial" w:cs="Arial"/>
          <w:b/>
          <w:bCs/>
          <w:sz w:val="20"/>
        </w:rPr>
        <w:t xml:space="preserve">BENEFICIARIES </w:t>
      </w:r>
      <w:r w:rsidRPr="006A5117">
        <w:rPr>
          <w:rFonts w:ascii="Arial" w:hAnsi="Arial" w:cs="Arial"/>
          <w:sz w:val="20"/>
        </w:rPr>
        <w:t>- Public programs are created to improve the condition of some group / groups of people. These are the intended beneficiaries of our work - citizens at large or specifically identified groups (aged, children, businesses, regions, etc). If they cannot speak for themselves, there are often advocates who speak for them, such as advisory groups, "stakeholder" groups, associations, lobbyists, etc.</w:t>
      </w:r>
    </w:p>
    <w:p w:rsidR="003214AE" w:rsidRPr="006A5117" w:rsidRDefault="003214AE" w:rsidP="003214AE">
      <w:pPr>
        <w:widowControl w:val="0"/>
        <w:autoSpaceDE w:val="0"/>
        <w:autoSpaceDN w:val="0"/>
        <w:adjustRightInd w:val="0"/>
        <w:rPr>
          <w:rFonts w:ascii="Arial" w:hAnsi="Arial" w:cs="Arial"/>
          <w:sz w:val="20"/>
        </w:rPr>
      </w:pPr>
    </w:p>
    <w:p w:rsidR="003214AE" w:rsidRPr="006A5117" w:rsidRDefault="003214AE" w:rsidP="003214AE">
      <w:pPr>
        <w:widowControl w:val="0"/>
        <w:autoSpaceDE w:val="0"/>
        <w:autoSpaceDN w:val="0"/>
        <w:adjustRightInd w:val="0"/>
        <w:rPr>
          <w:rFonts w:ascii="Arial" w:hAnsi="Arial" w:cs="Arial"/>
          <w:sz w:val="20"/>
        </w:rPr>
      </w:pPr>
      <w:r w:rsidRPr="006A5117">
        <w:rPr>
          <w:rFonts w:ascii="Arial" w:hAnsi="Arial" w:cs="Arial"/>
          <w:b/>
          <w:bCs/>
          <w:sz w:val="20"/>
        </w:rPr>
        <w:t xml:space="preserve">RECIPIENTS </w:t>
      </w:r>
      <w:r w:rsidRPr="006A5117">
        <w:rPr>
          <w:rFonts w:ascii="Arial" w:hAnsi="Arial" w:cs="Arial"/>
          <w:sz w:val="20"/>
        </w:rPr>
        <w:t>- Recipients are the people who directly receive the products or services of an agency. They are directly "across the counter" from you. Sometimes recipients are also beneficiaries (e.g. social services) - sometimes recipients are people regulated in order to protect beneficiaries (e.g. permits and licenses). In the TQM parlance, these are' customers.'</w:t>
      </w:r>
    </w:p>
    <w:p w:rsidR="003214AE" w:rsidRPr="006A5117" w:rsidRDefault="003214AE" w:rsidP="003214AE">
      <w:pPr>
        <w:rPr>
          <w:rFonts w:ascii="Arial" w:hAnsi="Arial" w:cs="Arial"/>
          <w:sz w:val="20"/>
        </w:rPr>
      </w:pPr>
    </w:p>
    <w:p w:rsidR="003214AE" w:rsidRPr="006A5117" w:rsidRDefault="003214AE" w:rsidP="003214AE">
      <w:pPr>
        <w:widowControl w:val="0"/>
        <w:autoSpaceDE w:val="0"/>
        <w:autoSpaceDN w:val="0"/>
        <w:adjustRightInd w:val="0"/>
        <w:rPr>
          <w:rFonts w:ascii="Arial" w:hAnsi="Arial" w:cs="Arial"/>
          <w:sz w:val="20"/>
        </w:rPr>
      </w:pPr>
      <w:r w:rsidRPr="006A5117">
        <w:rPr>
          <w:rFonts w:ascii="Arial" w:hAnsi="Arial" w:cs="Arial"/>
          <w:b/>
          <w:bCs/>
          <w:sz w:val="20"/>
        </w:rPr>
        <w:t xml:space="preserve">PRODUCERS and PARTNERS- </w:t>
      </w:r>
      <w:r w:rsidRPr="006A5117">
        <w:rPr>
          <w:rFonts w:ascii="Arial" w:hAnsi="Arial" w:cs="Arial"/>
          <w:sz w:val="20"/>
        </w:rPr>
        <w:t>The people who deliver the product or service to the recipients. They could be in the agency (staff and supervisors) or external to it (partners and suppliers).</w:t>
      </w:r>
    </w:p>
    <w:p w:rsidR="003214AE" w:rsidRPr="006A5117" w:rsidRDefault="003214AE" w:rsidP="003214AE">
      <w:pPr>
        <w:rPr>
          <w:rFonts w:ascii="Arial" w:hAnsi="Arial" w:cs="Arial"/>
          <w:sz w:val="20"/>
        </w:rPr>
      </w:pPr>
    </w:p>
    <w:p w:rsidR="003214AE" w:rsidRPr="006A5117" w:rsidRDefault="003214AE" w:rsidP="003214AE">
      <w:pPr>
        <w:widowControl w:val="0"/>
        <w:autoSpaceDE w:val="0"/>
        <w:autoSpaceDN w:val="0"/>
        <w:adjustRightInd w:val="0"/>
        <w:rPr>
          <w:rFonts w:ascii="Arial" w:hAnsi="Arial" w:cs="Arial"/>
          <w:sz w:val="20"/>
        </w:rPr>
      </w:pPr>
      <w:r w:rsidRPr="006A5117">
        <w:rPr>
          <w:rFonts w:ascii="Arial" w:hAnsi="Arial" w:cs="Arial"/>
          <w:b/>
          <w:bCs/>
          <w:sz w:val="20"/>
        </w:rPr>
        <w:t xml:space="preserve">MANAGERS and ENABLERS </w:t>
      </w:r>
      <w:r w:rsidRPr="006A5117">
        <w:rPr>
          <w:rFonts w:ascii="Arial" w:hAnsi="Arial" w:cs="Arial"/>
          <w:sz w:val="20"/>
        </w:rPr>
        <w:t>- The people who are concerned with the agency's ability to deliver on expectations in the future, and who are responsible for translating resources into capacity and performance.</w:t>
      </w:r>
    </w:p>
    <w:p w:rsidR="003214AE" w:rsidRPr="006A5117" w:rsidRDefault="003214AE" w:rsidP="003214AE">
      <w:pPr>
        <w:rPr>
          <w:rFonts w:ascii="Arial" w:hAnsi="Arial" w:cs="Arial"/>
          <w:sz w:val="20"/>
        </w:rPr>
      </w:pPr>
    </w:p>
    <w:p w:rsidR="003214AE" w:rsidRDefault="003214AE" w:rsidP="003214AE">
      <w:pPr>
        <w:widowControl w:val="0"/>
        <w:autoSpaceDE w:val="0"/>
        <w:autoSpaceDN w:val="0"/>
        <w:adjustRightInd w:val="0"/>
        <w:rPr>
          <w:rFonts w:ascii="Arial" w:hAnsi="Arial" w:cs="Arial"/>
          <w:sz w:val="20"/>
        </w:rPr>
      </w:pPr>
      <w:proofErr w:type="gramStart"/>
      <w:r w:rsidRPr="006A5117">
        <w:rPr>
          <w:rFonts w:ascii="Arial" w:hAnsi="Arial" w:cs="Arial"/>
          <w:b/>
          <w:bCs/>
          <w:sz w:val="20"/>
        </w:rPr>
        <w:t xml:space="preserve">FUNDERS / FINANCERS / AUTHORIZERS </w:t>
      </w:r>
      <w:r w:rsidRPr="006A5117">
        <w:rPr>
          <w:rFonts w:ascii="Arial" w:hAnsi="Arial" w:cs="Arial"/>
          <w:sz w:val="20"/>
        </w:rPr>
        <w:t>- Those who provide the funding or attach strings to it.</w:t>
      </w:r>
      <w:proofErr w:type="gramEnd"/>
      <w:r w:rsidRPr="006A5117">
        <w:rPr>
          <w:rFonts w:ascii="Arial" w:hAnsi="Arial" w:cs="Arial"/>
          <w:sz w:val="20"/>
        </w:rPr>
        <w:t xml:space="preserve"> They define the intended beneficiaries, and authorize the agency to use the funds to achieve certain benefits. Typically they are legislators, commissioners, grantors.</w:t>
      </w:r>
    </w:p>
    <w:p w:rsidR="003214AE" w:rsidRDefault="003214AE" w:rsidP="003214AE">
      <w:pPr>
        <w:pStyle w:val="BodyText"/>
        <w:rPr>
          <w:sz w:val="16"/>
        </w:rPr>
      </w:pPr>
    </w:p>
    <w:p w:rsidR="003214AE" w:rsidRDefault="003214AE" w:rsidP="003214AE">
      <w:pPr>
        <w:pStyle w:val="BodyText"/>
        <w:rPr>
          <w:sz w:val="16"/>
        </w:rPr>
      </w:pPr>
    </w:p>
    <w:p w:rsidR="003214AE" w:rsidRDefault="003214AE" w:rsidP="003214AE">
      <w:pPr>
        <w:pStyle w:val="BodyText"/>
        <w:rPr>
          <w:sz w:val="16"/>
        </w:rPr>
      </w:pPr>
    </w:p>
    <w:p w:rsidR="003214AE" w:rsidRDefault="003214AE" w:rsidP="003214AE">
      <w:pPr>
        <w:pStyle w:val="BodyText"/>
        <w:rPr>
          <w:sz w:val="16"/>
        </w:rPr>
      </w:pPr>
    </w:p>
    <w:p w:rsidR="003214AE" w:rsidRDefault="003214AE" w:rsidP="003214AE">
      <w:pPr>
        <w:pStyle w:val="BodyText"/>
        <w:rPr>
          <w:sz w:val="16"/>
        </w:rPr>
      </w:pPr>
      <w:r>
        <w:rPr>
          <w:sz w:val="16"/>
        </w:rPr>
        <w:br w:type="page"/>
      </w:r>
    </w:p>
    <w:p w:rsidR="003214AE" w:rsidRDefault="003214AE" w:rsidP="003214AE">
      <w:pPr>
        <w:pStyle w:val="BodyText"/>
        <w:rPr>
          <w:sz w:val="16"/>
        </w:rPr>
      </w:pPr>
    </w:p>
    <w:tbl>
      <w:tblPr>
        <w:tblW w:w="14400" w:type="dxa"/>
        <w:jc w:val="center"/>
        <w:tblCellMar>
          <w:top w:w="72" w:type="dxa"/>
          <w:left w:w="72" w:type="dxa"/>
          <w:bottom w:w="72" w:type="dxa"/>
          <w:right w:w="72" w:type="dxa"/>
        </w:tblCellMar>
        <w:tblLook w:val="0000"/>
      </w:tblPr>
      <w:tblGrid>
        <w:gridCol w:w="1530"/>
        <w:gridCol w:w="12870"/>
      </w:tblGrid>
      <w:tr w:rsidR="003214AE">
        <w:trPr>
          <w:trHeight w:hRule="exact" w:val="576"/>
          <w:jc w:val="center"/>
        </w:trPr>
        <w:tc>
          <w:tcPr>
            <w:tcW w:w="1530" w:type="dxa"/>
            <w:vAlign w:val="center"/>
          </w:tcPr>
          <w:p w:rsidR="003214AE" w:rsidRPr="00813616" w:rsidRDefault="003214AE" w:rsidP="00090896">
            <w:pPr>
              <w:pStyle w:val="Header"/>
              <w:jc w:val="center"/>
              <w:rPr>
                <w:rFonts w:ascii="Arial" w:hAnsi="Arial" w:cs="Arial"/>
                <w:b/>
                <w:bCs/>
                <w:sz w:val="20"/>
              </w:rPr>
            </w:pPr>
            <w:r w:rsidRPr="00813616">
              <w:rPr>
                <w:rFonts w:ascii="Arial" w:hAnsi="Arial" w:cs="Arial"/>
                <w:b/>
                <w:bCs/>
                <w:sz w:val="20"/>
              </w:rPr>
              <w:t>Planning Segment #</w:t>
            </w:r>
            <w:r>
              <w:rPr>
                <w:rFonts w:ascii="Arial" w:hAnsi="Arial" w:cs="Arial"/>
                <w:b/>
                <w:bCs/>
                <w:sz w:val="20"/>
              </w:rPr>
              <w:t>3</w:t>
            </w:r>
          </w:p>
        </w:tc>
        <w:tc>
          <w:tcPr>
            <w:tcW w:w="12870" w:type="dxa"/>
            <w:vAlign w:val="center"/>
          </w:tcPr>
          <w:p w:rsidR="003214AE" w:rsidRPr="00813616" w:rsidRDefault="003214AE" w:rsidP="00090896">
            <w:pPr>
              <w:pStyle w:val="Header"/>
              <w:jc w:val="center"/>
              <w:rPr>
                <w:rFonts w:ascii="Arial" w:hAnsi="Arial" w:cs="Arial"/>
                <w:b/>
                <w:bCs/>
                <w:i/>
                <w:spacing w:val="80"/>
                <w:sz w:val="28"/>
                <w:szCs w:val="28"/>
              </w:rPr>
            </w:pPr>
            <w:r w:rsidRPr="00813616">
              <w:rPr>
                <w:rFonts w:ascii="Arial" w:hAnsi="Arial" w:cs="Arial"/>
                <w:b/>
                <w:bCs/>
                <w:i/>
                <w:spacing w:val="80"/>
                <w:sz w:val="32"/>
                <w:szCs w:val="28"/>
              </w:rPr>
              <w:t>Perspectives</w:t>
            </w:r>
            <w:r>
              <w:rPr>
                <w:rFonts w:ascii="Arial" w:hAnsi="Arial" w:cs="Arial"/>
                <w:b/>
                <w:bCs/>
                <w:i/>
                <w:spacing w:val="80"/>
                <w:sz w:val="32"/>
                <w:szCs w:val="28"/>
              </w:rPr>
              <w:t xml:space="preserve"> on Performance</w:t>
            </w:r>
          </w:p>
        </w:tc>
      </w:tr>
    </w:tbl>
    <w:p w:rsidR="003214AE" w:rsidRDefault="003214AE" w:rsidP="003214AE">
      <w:pPr>
        <w:pStyle w:val="BodyText"/>
        <w:rPr>
          <w:sz w:val="16"/>
        </w:rPr>
      </w:pPr>
    </w:p>
    <w:tbl>
      <w:tblPr>
        <w:tblStyle w:val="TableGrid"/>
        <w:tblW w:w="0" w:type="auto"/>
        <w:jc w:val="center"/>
        <w:tblCellMar>
          <w:top w:w="29" w:type="dxa"/>
          <w:left w:w="29" w:type="dxa"/>
          <w:bottom w:w="29" w:type="dxa"/>
          <w:right w:w="29" w:type="dxa"/>
        </w:tblCellMar>
        <w:tblLook w:val="00BF"/>
      </w:tblPr>
      <w:tblGrid>
        <w:gridCol w:w="1289"/>
        <w:gridCol w:w="2633"/>
        <w:gridCol w:w="2634"/>
        <w:gridCol w:w="2634"/>
        <w:gridCol w:w="2634"/>
        <w:gridCol w:w="2634"/>
      </w:tblGrid>
      <w:tr w:rsidR="003214AE">
        <w:trPr>
          <w:trHeight w:hRule="exact" w:val="576"/>
          <w:tblHeader/>
          <w:jc w:val="center"/>
        </w:trPr>
        <w:tc>
          <w:tcPr>
            <w:tcW w:w="14458" w:type="dxa"/>
            <w:gridSpan w:val="6"/>
            <w:shd w:val="clear" w:color="auto" w:fill="99CCFF"/>
            <w:vAlign w:val="center"/>
          </w:tcPr>
          <w:p w:rsidR="003214AE" w:rsidRPr="00D15A82" w:rsidRDefault="003214AE" w:rsidP="00090896">
            <w:pPr>
              <w:pStyle w:val="BodyText"/>
              <w:jc w:val="center"/>
              <w:rPr>
                <w:b/>
                <w:i/>
                <w:color w:val="FFFFFF"/>
                <w:sz w:val="24"/>
                <w:szCs w:val="24"/>
              </w:rPr>
            </w:pPr>
            <w:r w:rsidRPr="00700654">
              <w:rPr>
                <w:b/>
                <w:color w:val="FFFFFF"/>
                <w:sz w:val="24"/>
                <w:szCs w:val="24"/>
              </w:rPr>
              <w:t xml:space="preserve">Program Element or Activity:  </w:t>
            </w:r>
            <w:r>
              <w:rPr>
                <w:b/>
                <w:i/>
                <w:color w:val="FFFFFF"/>
                <w:w w:val="200"/>
                <w:sz w:val="28"/>
                <w:szCs w:val="28"/>
              </w:rPr>
              <w:t>Item Title</w:t>
            </w:r>
          </w:p>
        </w:tc>
      </w:tr>
      <w:tr w:rsidR="003214AE">
        <w:trPr>
          <w:tblHeader/>
          <w:jc w:val="center"/>
        </w:trPr>
        <w:tc>
          <w:tcPr>
            <w:tcW w:w="1289" w:type="dxa"/>
            <w:vMerge w:val="restart"/>
            <w:tcBorders>
              <w:top w:val="single" w:sz="4" w:space="0" w:color="auto"/>
            </w:tcBorders>
            <w:shd w:val="clear" w:color="auto" w:fill="99CCFF"/>
          </w:tcPr>
          <w:p w:rsidR="003214AE" w:rsidRDefault="003214AE" w:rsidP="00090896">
            <w:pPr>
              <w:pStyle w:val="BodyText"/>
            </w:pPr>
          </w:p>
        </w:tc>
        <w:tc>
          <w:tcPr>
            <w:tcW w:w="2633" w:type="dxa"/>
            <w:vAlign w:val="center"/>
          </w:tcPr>
          <w:p w:rsidR="003214AE" w:rsidRPr="00A20FF3" w:rsidRDefault="003214AE" w:rsidP="00090896">
            <w:pPr>
              <w:pStyle w:val="BodyText"/>
              <w:jc w:val="center"/>
              <w:rPr>
                <w:b/>
                <w:i/>
                <w:sz w:val="22"/>
                <w:szCs w:val="22"/>
              </w:rPr>
            </w:pPr>
            <w:r w:rsidRPr="00A20FF3">
              <w:rPr>
                <w:b/>
                <w:i/>
                <w:sz w:val="22"/>
                <w:szCs w:val="22"/>
              </w:rPr>
              <w:t>Producers and Partners</w:t>
            </w:r>
          </w:p>
        </w:tc>
        <w:tc>
          <w:tcPr>
            <w:tcW w:w="2634" w:type="dxa"/>
            <w:vAlign w:val="center"/>
          </w:tcPr>
          <w:p w:rsidR="003214AE" w:rsidRPr="00A20FF3" w:rsidRDefault="003214AE" w:rsidP="00090896">
            <w:pPr>
              <w:pStyle w:val="BodyText"/>
              <w:jc w:val="center"/>
              <w:rPr>
                <w:b/>
                <w:i/>
                <w:sz w:val="22"/>
                <w:szCs w:val="22"/>
              </w:rPr>
            </w:pPr>
            <w:r w:rsidRPr="00A20FF3">
              <w:rPr>
                <w:b/>
                <w:i/>
                <w:sz w:val="22"/>
                <w:szCs w:val="22"/>
              </w:rPr>
              <w:t>Recipients</w:t>
            </w:r>
          </w:p>
        </w:tc>
        <w:tc>
          <w:tcPr>
            <w:tcW w:w="2634" w:type="dxa"/>
            <w:vAlign w:val="center"/>
          </w:tcPr>
          <w:p w:rsidR="003214AE" w:rsidRPr="00A20FF3" w:rsidRDefault="003214AE" w:rsidP="00090896">
            <w:pPr>
              <w:pStyle w:val="BodyText"/>
              <w:jc w:val="center"/>
              <w:rPr>
                <w:b/>
                <w:i/>
                <w:sz w:val="22"/>
                <w:szCs w:val="22"/>
              </w:rPr>
            </w:pPr>
            <w:r w:rsidRPr="00A20FF3">
              <w:rPr>
                <w:b/>
                <w:i/>
                <w:sz w:val="22"/>
                <w:szCs w:val="22"/>
              </w:rPr>
              <w:t>Beneficiaries</w:t>
            </w:r>
          </w:p>
        </w:tc>
        <w:tc>
          <w:tcPr>
            <w:tcW w:w="2634" w:type="dxa"/>
            <w:vAlign w:val="center"/>
          </w:tcPr>
          <w:p w:rsidR="003214AE" w:rsidRPr="00A20FF3" w:rsidRDefault="003214AE" w:rsidP="00090896">
            <w:pPr>
              <w:pStyle w:val="BodyText"/>
              <w:jc w:val="center"/>
              <w:rPr>
                <w:b/>
                <w:i/>
                <w:sz w:val="22"/>
                <w:szCs w:val="22"/>
              </w:rPr>
            </w:pPr>
            <w:r w:rsidRPr="00A20FF3">
              <w:rPr>
                <w:b/>
                <w:i/>
                <w:sz w:val="22"/>
                <w:szCs w:val="22"/>
              </w:rPr>
              <w:t>Funders / Authorizers</w:t>
            </w:r>
          </w:p>
        </w:tc>
        <w:tc>
          <w:tcPr>
            <w:tcW w:w="2634" w:type="dxa"/>
            <w:vAlign w:val="center"/>
          </w:tcPr>
          <w:p w:rsidR="003214AE" w:rsidRPr="00A20FF3" w:rsidRDefault="003214AE" w:rsidP="00090896">
            <w:pPr>
              <w:pStyle w:val="BodyText"/>
              <w:jc w:val="center"/>
              <w:rPr>
                <w:b/>
                <w:i/>
                <w:sz w:val="22"/>
                <w:szCs w:val="22"/>
              </w:rPr>
            </w:pPr>
            <w:r w:rsidRPr="00A20FF3">
              <w:rPr>
                <w:b/>
                <w:i/>
                <w:sz w:val="22"/>
                <w:szCs w:val="22"/>
              </w:rPr>
              <w:t>Managers / Enablers</w:t>
            </w:r>
          </w:p>
        </w:tc>
      </w:tr>
      <w:tr w:rsidR="003214AE">
        <w:trPr>
          <w:tblHeader/>
          <w:jc w:val="center"/>
        </w:trPr>
        <w:tc>
          <w:tcPr>
            <w:tcW w:w="1289" w:type="dxa"/>
            <w:vMerge/>
            <w:shd w:val="clear" w:color="auto" w:fill="99CCFF"/>
          </w:tcPr>
          <w:p w:rsidR="003214AE" w:rsidRDefault="003214AE" w:rsidP="00090896">
            <w:pPr>
              <w:pStyle w:val="BodyText"/>
            </w:pPr>
          </w:p>
        </w:tc>
        <w:tc>
          <w:tcPr>
            <w:tcW w:w="2633" w:type="dxa"/>
            <w:tcMar>
              <w:left w:w="58" w:type="dxa"/>
              <w:right w:w="58" w:type="dxa"/>
            </w:tcMar>
            <w:vAlign w:val="center"/>
          </w:tcPr>
          <w:p w:rsidR="003214AE" w:rsidRPr="001902E7" w:rsidRDefault="003214AE" w:rsidP="00090896">
            <w:pPr>
              <w:pStyle w:val="BodyText"/>
              <w:jc w:val="center"/>
              <w:rPr>
                <w:sz w:val="16"/>
                <w:szCs w:val="16"/>
              </w:rPr>
            </w:pPr>
            <w:r>
              <w:rPr>
                <w:sz w:val="16"/>
                <w:szCs w:val="16"/>
              </w:rPr>
              <w:t xml:space="preserve">Apply </w:t>
            </w:r>
            <w:r w:rsidRPr="001902E7">
              <w:rPr>
                <w:sz w:val="16"/>
                <w:szCs w:val="16"/>
              </w:rPr>
              <w:t>skills, tools</w:t>
            </w:r>
            <w:r>
              <w:rPr>
                <w:sz w:val="16"/>
                <w:szCs w:val="16"/>
              </w:rPr>
              <w:t>, resources</w:t>
            </w:r>
            <w:r w:rsidRPr="001902E7">
              <w:rPr>
                <w:sz w:val="16"/>
                <w:szCs w:val="16"/>
              </w:rPr>
              <w:t xml:space="preserve"> and policies to deliver services.</w:t>
            </w:r>
          </w:p>
        </w:tc>
        <w:tc>
          <w:tcPr>
            <w:tcW w:w="2634" w:type="dxa"/>
            <w:tcMar>
              <w:left w:w="58" w:type="dxa"/>
              <w:right w:w="58" w:type="dxa"/>
            </w:tcMar>
            <w:vAlign w:val="center"/>
          </w:tcPr>
          <w:p w:rsidR="003214AE" w:rsidRPr="001902E7" w:rsidRDefault="003214AE" w:rsidP="00090896">
            <w:pPr>
              <w:pStyle w:val="BodyText"/>
              <w:jc w:val="center"/>
              <w:rPr>
                <w:sz w:val="16"/>
                <w:szCs w:val="16"/>
              </w:rPr>
            </w:pPr>
            <w:r w:rsidRPr="001902E7">
              <w:rPr>
                <w:i/>
                <w:sz w:val="16"/>
                <w:szCs w:val="16"/>
              </w:rPr>
              <w:t>Directly</w:t>
            </w:r>
            <w:r w:rsidRPr="001902E7">
              <w:rPr>
                <w:sz w:val="16"/>
                <w:szCs w:val="16"/>
              </w:rPr>
              <w:t xml:space="preserve"> receive the services, reports, or other products </w:t>
            </w:r>
            <w:r>
              <w:rPr>
                <w:sz w:val="16"/>
                <w:szCs w:val="16"/>
              </w:rPr>
              <w:br/>
            </w:r>
            <w:r w:rsidRPr="001902E7">
              <w:rPr>
                <w:sz w:val="16"/>
                <w:szCs w:val="16"/>
              </w:rPr>
              <w:t>of our actions.</w:t>
            </w:r>
          </w:p>
        </w:tc>
        <w:tc>
          <w:tcPr>
            <w:tcW w:w="2634" w:type="dxa"/>
            <w:tcMar>
              <w:left w:w="58" w:type="dxa"/>
              <w:right w:w="58" w:type="dxa"/>
            </w:tcMar>
            <w:vAlign w:val="center"/>
          </w:tcPr>
          <w:p w:rsidR="003214AE" w:rsidRPr="001902E7" w:rsidRDefault="003214AE" w:rsidP="00090896">
            <w:pPr>
              <w:pStyle w:val="BodyText"/>
              <w:jc w:val="center"/>
              <w:rPr>
                <w:sz w:val="16"/>
                <w:szCs w:val="16"/>
              </w:rPr>
            </w:pPr>
            <w:r>
              <w:rPr>
                <w:sz w:val="16"/>
                <w:szCs w:val="16"/>
              </w:rPr>
              <w:t>Those c</w:t>
            </w:r>
            <w:r w:rsidRPr="001902E7">
              <w:rPr>
                <w:sz w:val="16"/>
                <w:szCs w:val="16"/>
              </w:rPr>
              <w:t xml:space="preserve">ommunities, groups and individual who are impacted </w:t>
            </w:r>
            <w:r>
              <w:rPr>
                <w:sz w:val="16"/>
                <w:szCs w:val="16"/>
              </w:rPr>
              <w:t xml:space="preserve">or benefit </w:t>
            </w:r>
            <w:r w:rsidRPr="001902E7">
              <w:rPr>
                <w:sz w:val="16"/>
                <w:szCs w:val="16"/>
              </w:rPr>
              <w:t>by our work.</w:t>
            </w:r>
          </w:p>
        </w:tc>
        <w:tc>
          <w:tcPr>
            <w:tcW w:w="2634" w:type="dxa"/>
            <w:tcMar>
              <w:left w:w="58" w:type="dxa"/>
              <w:right w:w="58" w:type="dxa"/>
            </w:tcMar>
            <w:vAlign w:val="center"/>
          </w:tcPr>
          <w:p w:rsidR="003214AE" w:rsidRPr="001902E7" w:rsidRDefault="003214AE" w:rsidP="00090896">
            <w:pPr>
              <w:pStyle w:val="BodyText"/>
              <w:jc w:val="center"/>
              <w:rPr>
                <w:sz w:val="16"/>
                <w:szCs w:val="16"/>
              </w:rPr>
            </w:pPr>
            <w:r w:rsidRPr="001902E7">
              <w:rPr>
                <w:sz w:val="16"/>
                <w:szCs w:val="16"/>
              </w:rPr>
              <w:t>Give us funding, directives and specific powers</w:t>
            </w:r>
            <w:r>
              <w:rPr>
                <w:sz w:val="16"/>
                <w:szCs w:val="16"/>
              </w:rPr>
              <w:t xml:space="preserve"> and duties</w:t>
            </w:r>
            <w:r w:rsidRPr="001902E7">
              <w:rPr>
                <w:sz w:val="16"/>
                <w:szCs w:val="16"/>
              </w:rPr>
              <w:t>.</w:t>
            </w:r>
          </w:p>
        </w:tc>
        <w:tc>
          <w:tcPr>
            <w:tcW w:w="2634" w:type="dxa"/>
            <w:tcMar>
              <w:left w:w="58" w:type="dxa"/>
              <w:right w:w="58" w:type="dxa"/>
            </w:tcMar>
            <w:vAlign w:val="center"/>
          </w:tcPr>
          <w:p w:rsidR="003214AE" w:rsidRPr="001902E7" w:rsidRDefault="003214AE" w:rsidP="00090896">
            <w:pPr>
              <w:pStyle w:val="BodyText"/>
              <w:jc w:val="center"/>
              <w:rPr>
                <w:sz w:val="16"/>
                <w:szCs w:val="16"/>
              </w:rPr>
            </w:pPr>
            <w:r w:rsidRPr="001902E7">
              <w:rPr>
                <w:sz w:val="16"/>
                <w:szCs w:val="16"/>
              </w:rPr>
              <w:t>Convert funds and mandates into capacity—staff, skills, tools</w:t>
            </w:r>
            <w:r>
              <w:rPr>
                <w:sz w:val="16"/>
                <w:szCs w:val="16"/>
              </w:rPr>
              <w:t xml:space="preserve">, resources </w:t>
            </w:r>
            <w:r w:rsidRPr="001902E7">
              <w:rPr>
                <w:sz w:val="16"/>
                <w:szCs w:val="16"/>
              </w:rPr>
              <w:t>and policies.</w:t>
            </w:r>
          </w:p>
        </w:tc>
      </w:tr>
      <w:tr w:rsidR="003214AE">
        <w:trPr>
          <w:cantSplit/>
          <w:trHeight w:val="2016"/>
          <w:jc w:val="center"/>
        </w:trPr>
        <w:tc>
          <w:tcPr>
            <w:tcW w:w="1289" w:type="dxa"/>
            <w:textDirection w:val="btLr"/>
            <w:vAlign w:val="center"/>
          </w:tcPr>
          <w:p w:rsidR="003214AE" w:rsidRPr="00D803FE" w:rsidRDefault="003214AE" w:rsidP="00090896">
            <w:pPr>
              <w:pStyle w:val="BodyText"/>
              <w:ind w:left="113" w:right="113"/>
              <w:jc w:val="center"/>
              <w:rPr>
                <w:b/>
                <w:i/>
              </w:rPr>
            </w:pPr>
            <w:r w:rsidRPr="00D803FE">
              <w:rPr>
                <w:b/>
                <w:i/>
              </w:rPr>
              <w:t>Who are these people?</w:t>
            </w:r>
          </w:p>
        </w:tc>
        <w:tc>
          <w:tcPr>
            <w:tcW w:w="2633"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r>
      <w:tr w:rsidR="003214AE">
        <w:trPr>
          <w:cantSplit/>
          <w:trHeight w:val="2016"/>
          <w:jc w:val="center"/>
        </w:trPr>
        <w:tc>
          <w:tcPr>
            <w:tcW w:w="1289" w:type="dxa"/>
            <w:textDirection w:val="btLr"/>
            <w:vAlign w:val="center"/>
          </w:tcPr>
          <w:p w:rsidR="003214AE" w:rsidRPr="00D803FE" w:rsidRDefault="003214AE" w:rsidP="00090896">
            <w:pPr>
              <w:pStyle w:val="BodyText"/>
              <w:ind w:left="113" w:right="113"/>
              <w:jc w:val="center"/>
              <w:rPr>
                <w:b/>
                <w:i/>
              </w:rPr>
            </w:pPr>
            <w:r w:rsidRPr="00D803FE">
              <w:rPr>
                <w:b/>
                <w:i/>
              </w:rPr>
              <w:t>What do they want?  What matters to them?</w:t>
            </w:r>
          </w:p>
        </w:tc>
        <w:tc>
          <w:tcPr>
            <w:tcW w:w="2633"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r>
      <w:tr w:rsidR="003214AE">
        <w:trPr>
          <w:cantSplit/>
          <w:trHeight w:val="2016"/>
          <w:jc w:val="center"/>
        </w:trPr>
        <w:tc>
          <w:tcPr>
            <w:tcW w:w="1289" w:type="dxa"/>
            <w:textDirection w:val="btLr"/>
            <w:vAlign w:val="center"/>
          </w:tcPr>
          <w:p w:rsidR="003214AE" w:rsidRPr="00D803FE" w:rsidRDefault="003214AE" w:rsidP="00090896">
            <w:pPr>
              <w:pStyle w:val="BodyText"/>
              <w:ind w:left="113" w:right="113"/>
              <w:jc w:val="center"/>
              <w:rPr>
                <w:b/>
                <w:i/>
              </w:rPr>
            </w:pPr>
            <w:r w:rsidRPr="00D803FE">
              <w:rPr>
                <w:b/>
                <w:i/>
              </w:rPr>
              <w:t>How can we measure what matters to them?</w:t>
            </w:r>
          </w:p>
        </w:tc>
        <w:tc>
          <w:tcPr>
            <w:tcW w:w="2633"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c>
          <w:tcPr>
            <w:tcW w:w="2634" w:type="dxa"/>
          </w:tcPr>
          <w:p w:rsidR="003214AE" w:rsidRPr="00DA0A89" w:rsidRDefault="003214AE" w:rsidP="00090896">
            <w:pPr>
              <w:pStyle w:val="BodyText"/>
              <w:numPr>
                <w:ilvl w:val="0"/>
                <w:numId w:val="1"/>
              </w:numPr>
              <w:rPr>
                <w:sz w:val="18"/>
                <w:szCs w:val="18"/>
              </w:rPr>
            </w:pPr>
          </w:p>
        </w:tc>
      </w:tr>
      <w:tr w:rsidR="003214AE">
        <w:trPr>
          <w:cantSplit/>
          <w:trHeight w:val="213"/>
          <w:jc w:val="center"/>
        </w:trPr>
        <w:tc>
          <w:tcPr>
            <w:tcW w:w="14458" w:type="dxa"/>
            <w:gridSpan w:val="6"/>
            <w:vAlign w:val="center"/>
          </w:tcPr>
          <w:p w:rsidR="003214AE" w:rsidRPr="00DA0A89" w:rsidRDefault="003214AE" w:rsidP="00090896">
            <w:pPr>
              <w:pStyle w:val="BodyText"/>
              <w:rPr>
                <w:sz w:val="18"/>
                <w:szCs w:val="18"/>
              </w:rPr>
            </w:pPr>
            <w:r>
              <w:rPr>
                <w:sz w:val="18"/>
                <w:szCs w:val="18"/>
              </w:rPr>
              <w:t xml:space="preserve"> </w:t>
            </w:r>
            <w:r>
              <w:rPr>
                <w:sz w:val="16"/>
                <w:szCs w:val="16"/>
              </w:rPr>
              <w:t>Based on material presented in “But We Can’t Measure What We Do” training</w:t>
            </w:r>
            <w:r>
              <w:rPr>
                <w:sz w:val="18"/>
                <w:szCs w:val="18"/>
              </w:rPr>
              <w:t xml:space="preserve">  </w:t>
            </w:r>
            <w:r w:rsidRPr="00635A3F">
              <w:rPr>
                <w:sz w:val="16"/>
                <w:szCs w:val="16"/>
              </w:rPr>
              <w:t xml:space="preserve">© Mary Campbell &amp; Associates, LLC </w:t>
            </w:r>
            <w:r w:rsidRPr="00635A3F">
              <w:rPr>
                <w:sz w:val="16"/>
                <w:szCs w:val="16"/>
              </w:rPr>
              <w:sym w:font="Wingdings 2" w:char="F098"/>
            </w:r>
            <w:r w:rsidRPr="00635A3F">
              <w:rPr>
                <w:sz w:val="16"/>
                <w:szCs w:val="16"/>
              </w:rPr>
              <w:t xml:space="preserve"> Rev. 2005-2007 </w:t>
            </w:r>
            <w:r w:rsidRPr="00635A3F">
              <w:rPr>
                <w:sz w:val="16"/>
                <w:szCs w:val="16"/>
              </w:rPr>
              <w:sym w:font="Wingdings 2" w:char="F098"/>
            </w:r>
            <w:r w:rsidRPr="00635A3F">
              <w:rPr>
                <w:sz w:val="16"/>
                <w:szCs w:val="16"/>
              </w:rPr>
              <w:t xml:space="preserve"> 360.486.4665 </w:t>
            </w:r>
            <w:r w:rsidRPr="00635A3F">
              <w:rPr>
                <w:sz w:val="16"/>
                <w:szCs w:val="16"/>
              </w:rPr>
              <w:sym w:font="Wingdings 2" w:char="F098"/>
            </w:r>
            <w:r w:rsidRPr="00635A3F">
              <w:rPr>
                <w:sz w:val="16"/>
                <w:szCs w:val="16"/>
              </w:rPr>
              <w:t xml:space="preserve"> mary@marycampbell.org</w:t>
            </w:r>
          </w:p>
        </w:tc>
      </w:tr>
    </w:tbl>
    <w:p w:rsidR="003214AE" w:rsidRDefault="003214AE" w:rsidP="003214AE">
      <w:pPr>
        <w:pStyle w:val="BodyText"/>
        <w:rPr>
          <w:sz w:val="16"/>
        </w:rPr>
      </w:pPr>
    </w:p>
    <w:p w:rsidR="00705BF1" w:rsidRDefault="00705BF1" w:rsidP="003214AE"/>
    <w:sectPr w:rsidR="00705BF1" w:rsidSect="00DC4DA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896" w:rsidRDefault="00090896">
      <w:r>
        <w:separator/>
      </w:r>
    </w:p>
  </w:endnote>
  <w:endnote w:type="continuationSeparator" w:id="0">
    <w:p w:rsidR="00090896" w:rsidRDefault="00090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896" w:rsidRDefault="00090896">
      <w:r>
        <w:separator/>
      </w:r>
    </w:p>
  </w:footnote>
  <w:footnote w:type="continuationSeparator" w:id="0">
    <w:p w:rsidR="00090896" w:rsidRDefault="00090896">
      <w:r>
        <w:continuationSeparator/>
      </w:r>
    </w:p>
  </w:footnote>
  <w:footnote w:id="1">
    <w:p w:rsidR="003214AE" w:rsidRDefault="003214AE" w:rsidP="003214AE">
      <w:pPr>
        <w:pStyle w:val="FootnoteText"/>
      </w:pPr>
      <w:r>
        <w:rPr>
          <w:rStyle w:val="FootnoteReference"/>
        </w:rPr>
        <w:footnoteRef/>
      </w:r>
      <w:r>
        <w:t xml:space="preserve">  </w:t>
      </w:r>
      <w:r w:rsidRPr="00122238">
        <w:rPr>
          <w:rFonts w:cs="Arial"/>
          <w:sz w:val="16"/>
          <w:szCs w:val="16"/>
        </w:rPr>
        <w:t xml:space="preserve">© Mary Campbell &amp; Associates, LLC </w:t>
      </w:r>
      <w:r w:rsidRPr="00122238">
        <w:rPr>
          <w:rFonts w:cs="Arial"/>
          <w:sz w:val="16"/>
          <w:szCs w:val="16"/>
        </w:rPr>
        <w:sym w:font="Wingdings 2" w:char="F098"/>
      </w:r>
      <w:r w:rsidRPr="00122238">
        <w:rPr>
          <w:rFonts w:cs="Arial"/>
          <w:sz w:val="16"/>
          <w:szCs w:val="16"/>
        </w:rPr>
        <w:t xml:space="preserve"> Rev. 2005-2007 </w:t>
      </w:r>
      <w:r w:rsidRPr="00122238">
        <w:rPr>
          <w:rFonts w:cs="Arial"/>
          <w:sz w:val="16"/>
          <w:szCs w:val="16"/>
        </w:rPr>
        <w:sym w:font="Wingdings 2" w:char="F098"/>
      </w:r>
      <w:r w:rsidRPr="00122238">
        <w:rPr>
          <w:rFonts w:cs="Arial"/>
          <w:sz w:val="16"/>
          <w:szCs w:val="16"/>
        </w:rPr>
        <w:t xml:space="preserve"> 360.486.4665 </w:t>
      </w:r>
      <w:r w:rsidRPr="00122238">
        <w:rPr>
          <w:rFonts w:cs="Arial"/>
          <w:sz w:val="16"/>
          <w:szCs w:val="16"/>
        </w:rPr>
        <w:sym w:font="Wingdings 2" w:char="F098"/>
      </w:r>
      <w:r w:rsidRPr="00122238">
        <w:rPr>
          <w:rFonts w:cs="Arial"/>
          <w:sz w:val="16"/>
          <w:szCs w:val="16"/>
        </w:rPr>
        <w:t xml:space="preserve"> mary@marycampbell.org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DBA"/>
    <w:multiLevelType w:val="hybridMultilevel"/>
    <w:tmpl w:val="55BC62F8"/>
    <w:lvl w:ilvl="0" w:tplc="D902D94A">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3"/>
  <w:proofState w:grammar="clean"/>
  <w:attachedTemplate r:id="rId1"/>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4AE"/>
    <w:rsid w:val="00090896"/>
    <w:rsid w:val="003214AE"/>
    <w:rsid w:val="00453EA3"/>
    <w:rsid w:val="00705BF1"/>
    <w:rsid w:val="00DC4D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4AE"/>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214AE"/>
    <w:pPr>
      <w:tabs>
        <w:tab w:val="center" w:pos="4320"/>
        <w:tab w:val="right" w:pos="8640"/>
      </w:tabs>
    </w:pPr>
  </w:style>
  <w:style w:type="paragraph" w:styleId="BodyText">
    <w:name w:val="Body Text"/>
    <w:basedOn w:val="Normal"/>
    <w:rsid w:val="003214AE"/>
    <w:pPr>
      <w:tabs>
        <w:tab w:val="left" w:pos="432"/>
      </w:tabs>
    </w:pPr>
    <w:rPr>
      <w:rFonts w:ascii="Arial" w:hAnsi="Arial" w:cs="Arial"/>
      <w:bCs/>
      <w:sz w:val="20"/>
    </w:rPr>
  </w:style>
  <w:style w:type="table" w:styleId="TableGrid">
    <w:name w:val="Table Grid"/>
    <w:basedOn w:val="TableNormal"/>
    <w:rsid w:val="00321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214AE"/>
    <w:rPr>
      <w:rFonts w:ascii="Arial" w:hAnsi="Arial"/>
      <w:sz w:val="18"/>
    </w:rPr>
  </w:style>
  <w:style w:type="character" w:styleId="FootnoteReference">
    <w:name w:val="footnote reference"/>
    <w:basedOn w:val="DefaultParagraphFont"/>
    <w:semiHidden/>
    <w:rsid w:val="003214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s1303\Application%20Data\Microsoft\Templates\PrintSc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PrintScreen.dot</Template>
  <TotalTime>0</TotalTime>
  <Pages>2</Pages>
  <Words>435</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Planning Segment #3</vt:lpstr>
    </vt:vector>
  </TitlesOfParts>
  <Company>Department of Health</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Segment #3</dc:title>
  <dc:creator>JMS1303</dc:creator>
  <cp:lastModifiedBy>Jennifer Bush</cp:lastModifiedBy>
  <cp:revision>2</cp:revision>
  <cp:lastPrinted>1601-01-01T00:00:00Z</cp:lastPrinted>
  <dcterms:created xsi:type="dcterms:W3CDTF">2011-06-03T21:16:00Z</dcterms:created>
  <dcterms:modified xsi:type="dcterms:W3CDTF">2011-06-03T21:16:00Z</dcterms:modified>
</cp:coreProperties>
</file>