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3" w:rsidRPr="00A602FF" w:rsidRDefault="00A55FE3" w:rsidP="00A55FE3">
      <w:pPr>
        <w:pStyle w:val="Headline"/>
        <w:spacing w:line="240" w:lineRule="auto"/>
        <w:jc w:val="lef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A602FF">
        <w:rPr>
          <w:rFonts w:ascii="Segoe UI" w:hAnsi="Segoe UI" w:cs="Segoe UI"/>
          <w:sz w:val="32"/>
          <w:szCs w:val="32"/>
          <w:lang w:val="es"/>
        </w:rPr>
        <w:t>Folleto</w:t>
      </w:r>
    </w:p>
    <w:p w:rsidR="00161052" w:rsidRPr="00A602FF" w:rsidRDefault="00161052" w:rsidP="00A55FE3">
      <w:pPr>
        <w:pStyle w:val="Headline"/>
        <w:spacing w:line="240" w:lineRule="auto"/>
        <w:jc w:val="left"/>
        <w:rPr>
          <w:rFonts w:ascii="Segoe UI" w:hAnsi="Segoe UI" w:cs="Segoe UI"/>
          <w:sz w:val="32"/>
          <w:szCs w:val="32"/>
        </w:rPr>
      </w:pPr>
      <w:r w:rsidRPr="00A602FF">
        <w:rPr>
          <w:rFonts w:ascii="Segoe UI" w:hAnsi="Segoe UI" w:cs="Segoe UI"/>
          <w:sz w:val="32"/>
          <w:szCs w:val="32"/>
          <w:lang w:val="es"/>
        </w:rPr>
        <w:t xml:space="preserve">Muestreo de plomo y cobre </w:t>
      </w:r>
    </w:p>
    <w:p w:rsidR="00A55FE3" w:rsidRPr="00A602FF" w:rsidRDefault="00A55FE3" w:rsidP="00A55FE3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602FF">
        <w:rPr>
          <w:rFonts w:ascii="Times New Roman" w:hAnsi="Times New Roman" w:cs="Times New Roman"/>
          <w:sz w:val="22"/>
          <w:szCs w:val="22"/>
          <w:lang w:val="es"/>
        </w:rPr>
        <w:t>DOH 331-227</w:t>
      </w:r>
    </w:p>
    <w:p w:rsidR="00A55FE3" w:rsidRPr="00A602FF" w:rsidRDefault="00042C53" w:rsidP="00A55FE3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s"/>
        </w:rPr>
        <w:t>December</w:t>
      </w:r>
      <w:proofErr w:type="spellEnd"/>
      <w:r w:rsidR="00A55FE3" w:rsidRPr="00A602FF">
        <w:rPr>
          <w:rFonts w:ascii="Times New Roman" w:hAnsi="Times New Roman" w:cs="Times New Roman"/>
          <w:sz w:val="22"/>
          <w:szCs w:val="22"/>
          <w:lang w:val="es"/>
        </w:rPr>
        <w:t xml:space="preserve"> 2009</w:t>
      </w:r>
      <w:r>
        <w:rPr>
          <w:rFonts w:ascii="Times New Roman" w:hAnsi="Times New Roman" w:cs="Times New Roman"/>
          <w:sz w:val="22"/>
          <w:szCs w:val="22"/>
          <w:lang w:val="es"/>
        </w:rPr>
        <w:t xml:space="preserve"> – </w:t>
      </w:r>
      <w:proofErr w:type="spellStart"/>
      <w:r>
        <w:rPr>
          <w:rFonts w:ascii="Times New Roman" w:hAnsi="Times New Roman" w:cs="Times New Roman"/>
          <w:sz w:val="22"/>
          <w:szCs w:val="22"/>
          <w:lang w:val="es"/>
        </w:rPr>
        <w:t>Spanish</w:t>
      </w:r>
      <w:proofErr w:type="spellEnd"/>
      <w:r>
        <w:rPr>
          <w:rFonts w:ascii="Times New Roman" w:hAnsi="Times New Roman" w:cs="Times New Roman"/>
          <w:sz w:val="22"/>
          <w:szCs w:val="22"/>
          <w:lang w:val="es"/>
        </w:rPr>
        <w:t xml:space="preserve"> -</w:t>
      </w:r>
      <w:r w:rsidR="00A55FE3" w:rsidRPr="00A602FF">
        <w:rPr>
          <w:rFonts w:ascii="Times New Roman" w:hAnsi="Times New Roman" w:cs="Times New Roman"/>
          <w:sz w:val="22"/>
          <w:szCs w:val="22"/>
          <w:lang w:val="es"/>
        </w:rPr>
        <w:t xml:space="preserve"> Revisado</w:t>
      </w:r>
    </w:p>
    <w:p w:rsidR="00A55FE3" w:rsidRPr="00A602FF" w:rsidRDefault="00A55FE3" w:rsidP="00A55FE3">
      <w:pPr>
        <w:pStyle w:val="BodyTe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61052" w:rsidRPr="00A602FF" w:rsidRDefault="00161052" w:rsidP="00161052">
      <w:pPr>
        <w:pStyle w:val="BodyText"/>
        <w:keepNext w:val="0"/>
        <w:rPr>
          <w:rFonts w:ascii="Times New Roman" w:hAnsi="Times New Roman" w:cs="Times New Roman"/>
          <w:sz w:val="22"/>
          <w:szCs w:val="22"/>
        </w:rPr>
      </w:pPr>
      <w:r w:rsidRPr="00A602FF">
        <w:rPr>
          <w:rFonts w:ascii="Times New Roman" w:hAnsi="Times New Roman" w:cs="Times New Roman"/>
          <w:sz w:val="22"/>
          <w:szCs w:val="22"/>
          <w:lang w:val="es"/>
        </w:rPr>
        <w:t xml:space="preserve">Las reglamentaciones estatales exigen que se controlen todos los sistemas de agua comunitarios </w:t>
      </w:r>
      <w:r w:rsidR="002B7DC3">
        <w:rPr>
          <w:rFonts w:ascii="Times New Roman" w:hAnsi="Times New Roman" w:cs="Times New Roman"/>
          <w:sz w:val="22"/>
          <w:szCs w:val="22"/>
          <w:lang w:val="es"/>
        </w:rPr>
        <w:t xml:space="preserve">al igual que </w:t>
      </w:r>
      <w:r w:rsidRPr="00A602FF">
        <w:rPr>
          <w:rFonts w:ascii="Times New Roman" w:hAnsi="Times New Roman" w:cs="Times New Roman"/>
          <w:sz w:val="22"/>
          <w:szCs w:val="22"/>
          <w:lang w:val="es"/>
        </w:rPr>
        <w:t xml:space="preserve">no comunitarios </w:t>
      </w:r>
      <w:r w:rsidR="002B7DC3">
        <w:rPr>
          <w:rFonts w:ascii="Times New Roman" w:hAnsi="Times New Roman" w:cs="Times New Roman"/>
          <w:sz w:val="22"/>
          <w:szCs w:val="22"/>
          <w:lang w:val="es"/>
        </w:rPr>
        <w:t xml:space="preserve">y </w:t>
      </w:r>
      <w:r w:rsidRPr="00A602FF">
        <w:rPr>
          <w:rFonts w:ascii="Times New Roman" w:hAnsi="Times New Roman" w:cs="Times New Roman"/>
          <w:sz w:val="22"/>
          <w:szCs w:val="22"/>
          <w:lang w:val="es"/>
        </w:rPr>
        <w:t xml:space="preserve">no transitorios para determinar los niveles de plomo y cobre en el agua potable. </w:t>
      </w:r>
    </w:p>
    <w:p w:rsidR="00161052" w:rsidRPr="00A602FF" w:rsidRDefault="00161052" w:rsidP="00161052">
      <w:pPr>
        <w:pStyle w:val="BodyText"/>
        <w:keepNext w:val="0"/>
        <w:rPr>
          <w:rFonts w:ascii="Times New Roman" w:hAnsi="Times New Roman" w:cs="Times New Roman"/>
          <w:sz w:val="22"/>
          <w:szCs w:val="22"/>
        </w:rPr>
      </w:pPr>
      <w:r w:rsidRPr="00A602FF">
        <w:rPr>
          <w:rFonts w:ascii="Times New Roman" w:hAnsi="Times New Roman" w:cs="Times New Roman"/>
          <w:sz w:val="22"/>
          <w:szCs w:val="22"/>
          <w:lang w:val="es"/>
        </w:rPr>
        <w:t xml:space="preserve">A diferencia del control de otros contaminantes, las muestras para las pruebas de plomo y cobre deben provenir de los grifos de agua fría utilizados regularmente dentro de las casas de los clientes. </w:t>
      </w:r>
    </w:p>
    <w:p w:rsidR="00161052" w:rsidRPr="00A602FF" w:rsidRDefault="00161052" w:rsidP="00161052">
      <w:pPr>
        <w:pStyle w:val="BodyText"/>
        <w:keepNext w:val="0"/>
        <w:rPr>
          <w:rFonts w:ascii="Times New Roman" w:hAnsi="Times New Roman" w:cs="Times New Roman"/>
          <w:sz w:val="22"/>
          <w:szCs w:val="22"/>
        </w:rPr>
      </w:pPr>
      <w:r w:rsidRPr="00A602FF">
        <w:rPr>
          <w:rFonts w:ascii="Times New Roman" w:hAnsi="Times New Roman" w:cs="Times New Roman"/>
          <w:sz w:val="22"/>
          <w:szCs w:val="22"/>
          <w:lang w:val="es"/>
        </w:rPr>
        <w:t>Los pasos y procedimientos para tomar las muestras de plomo y cobre para las pruebas varían en los distintos laboratorios. Antes de comenzar, consulte a su laboratorio. Asegúrese de seguir las instrucciones que le brinde el laboratorio.</w:t>
      </w:r>
    </w:p>
    <w:p w:rsidR="003A5712" w:rsidRPr="00A602FF" w:rsidRDefault="00161052" w:rsidP="00161052">
      <w:pPr>
        <w:rPr>
          <w:rFonts w:ascii="Times New Roman" w:hAnsi="Times New Roman" w:cs="Times New Roman"/>
        </w:rPr>
      </w:pPr>
      <w:r w:rsidRPr="00A602FF">
        <w:rPr>
          <w:rFonts w:ascii="Times New Roman" w:hAnsi="Times New Roman" w:cs="Times New Roman"/>
          <w:lang w:val="es"/>
        </w:rPr>
        <w:t>Para obtener ayuda, llame a la oficina regional más cercana del Department of Health (Departamento de Salud) de la lista que aparece al final de este folleto.</w:t>
      </w:r>
    </w:p>
    <w:p w:rsidR="00161052" w:rsidRPr="00A602FF" w:rsidRDefault="00161052" w:rsidP="002648AB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180" w:line="288" w:lineRule="auto"/>
        <w:ind w:left="360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02FF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Seleccione los sitios de muestreo. </w:t>
      </w:r>
    </w:p>
    <w:p w:rsidR="00161052" w:rsidRPr="00A602FF" w:rsidRDefault="00161052" w:rsidP="00161052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Existen pautas específicas para la selección de las casas o los lugares donde se toman las muestras, la cantidad de muestras que se requieren, y el establecimiento de un programa de control. Para obtener más información, consulte la publicación </w:t>
      </w:r>
      <w:r w:rsidRPr="0032280E">
        <w:rPr>
          <w:rFonts w:ascii="Times New Roman" w:hAnsi="Times New Roman" w:cs="Times New Roman"/>
          <w:color w:val="2E74B5" w:themeColor="accent1" w:themeShade="BF"/>
          <w:u w:val="single"/>
          <w:lang w:val="es"/>
        </w:rPr>
        <w:t xml:space="preserve">Control de plomo y </w:t>
      </w:r>
      <w:commentRangeStart w:id="1"/>
      <w:r w:rsidRPr="0032280E">
        <w:rPr>
          <w:rFonts w:ascii="Times New Roman" w:hAnsi="Times New Roman" w:cs="Times New Roman"/>
          <w:color w:val="2E74B5" w:themeColor="accent1" w:themeShade="BF"/>
          <w:u w:val="single"/>
          <w:lang w:val="es"/>
        </w:rPr>
        <w:t>cobre</w:t>
      </w:r>
      <w:commentRangeEnd w:id="1"/>
      <w:r w:rsidR="00FF76DF">
        <w:rPr>
          <w:rStyle w:val="CommentReference"/>
        </w:rPr>
        <w:commentReference w:id="1"/>
      </w:r>
      <w:r w:rsidR="00FF76DF" w:rsidRPr="0032280E">
        <w:rPr>
          <w:rFonts w:ascii="Times New Roman" w:hAnsi="Times New Roman" w:cs="Times New Roman"/>
          <w:color w:val="2E74B5" w:themeColor="accent1" w:themeShade="BF"/>
          <w:u w:val="single"/>
          <w:lang w:val="es"/>
        </w:rPr>
        <w:t xml:space="preserve"> </w:t>
      </w:r>
      <w:r w:rsidRPr="00A602FF">
        <w:rPr>
          <w:rFonts w:ascii="Times New Roman" w:hAnsi="Times New Roman" w:cs="Times New Roman"/>
          <w:color w:val="000000"/>
          <w:lang w:val="es"/>
        </w:rPr>
        <w:t xml:space="preserve"> (DOH 331-111). </w:t>
      </w:r>
    </w:p>
    <w:p w:rsidR="00161052" w:rsidRPr="00A602FF" w:rsidRDefault="00161052" w:rsidP="00161052">
      <w:pPr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Puede hacer lo siguiente:</w:t>
      </w:r>
    </w:p>
    <w:p w:rsidR="00161052" w:rsidRPr="00A602FF" w:rsidRDefault="00161052" w:rsidP="00161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Indicarles a los residentes que tomen las muestras. Asegúrese de proporcionarles indicaciones y kits de muestreo.  </w:t>
      </w:r>
    </w:p>
    <w:p w:rsidR="00161052" w:rsidRPr="00A602FF" w:rsidRDefault="00161052" w:rsidP="001610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Tomar las muestras usted mismo. Solicíteles a los residentes que permitan que el personal del sistema ingrese en sus casas para tomar las muestras.</w:t>
      </w:r>
    </w:p>
    <w:p w:rsidR="00161052" w:rsidRPr="00A602FF" w:rsidRDefault="002648AB" w:rsidP="00161052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02FF">
        <w:rPr>
          <w:rFonts w:ascii="Arial" w:hAnsi="Arial" w:cs="Arial"/>
          <w:b/>
          <w:bCs/>
          <w:color w:val="000000"/>
          <w:sz w:val="24"/>
          <w:szCs w:val="24"/>
          <w:lang w:val="es"/>
        </w:rPr>
        <w:t>2. Infórmeles a los propietarios lo que pueden esperar.</w:t>
      </w:r>
    </w:p>
    <w:p w:rsidR="00314CE6" w:rsidRPr="00042C53" w:rsidRDefault="00314CE6" w:rsidP="00314C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La muestra debe provenir de un grifo de agua fría de la cocina o el baño que se utilice regularmente. </w:t>
      </w:r>
    </w:p>
    <w:p w:rsidR="00161052" w:rsidRPr="00042C53" w:rsidRDefault="00314CE6" w:rsidP="001610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El objetivo es obtener el “primer chorro” del agua que ha estado estancada en las tuberías durante, al menos, 6 horas, pero no más de 12 horas antes del muestreo. </w:t>
      </w:r>
    </w:p>
    <w:p w:rsidR="00161052" w:rsidRPr="00042C53" w:rsidRDefault="00161052" w:rsidP="001610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Para garantizar la existencia de condiciones de agua estancada, los mejores horarios de muestreo son a primera hora de la mañana o después de que los residentes vuelven a su casa del trabajo o la escuela. </w:t>
      </w:r>
    </w:p>
    <w:p w:rsidR="00161052" w:rsidRPr="00042C53" w:rsidRDefault="00161052" w:rsidP="001610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>Asegúrese de que el agua no pase por una manguera o alguna clase de filtro antes de llegar al recipiente de muestras.</w:t>
      </w:r>
    </w:p>
    <w:p w:rsidR="00210AF4" w:rsidRPr="00A602FF" w:rsidRDefault="00210AF4" w:rsidP="001610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No retire el aireador del grifo antes del tiempo de estancamiento ni antes de tomar la muestra.</w:t>
      </w:r>
    </w:p>
    <w:p w:rsidR="00161052" w:rsidRPr="00A602FF" w:rsidRDefault="002648AB" w:rsidP="00161052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02FF">
        <w:rPr>
          <w:rFonts w:ascii="Arial" w:hAnsi="Arial" w:cs="Arial"/>
          <w:b/>
          <w:bCs/>
          <w:sz w:val="24"/>
          <w:szCs w:val="24"/>
          <w:lang w:val="es"/>
        </w:rPr>
        <w:lastRenderedPageBreak/>
        <w:t>3.</w:t>
      </w:r>
      <w:r w:rsidRPr="00A602FF">
        <w:rPr>
          <w:rStyle w:val="Numbers"/>
          <w:rFonts w:ascii="Arial" w:hAnsi="Arial" w:cs="Arial"/>
          <w:b/>
          <w:bCs/>
          <w:outline/>
          <w:color w:val="000000"/>
          <w:sz w:val="24"/>
          <w:szCs w:val="24"/>
          <w:lang w:val="es"/>
        </w:rPr>
        <w:t xml:space="preserve"> </w:t>
      </w:r>
      <w:r w:rsidRPr="00A602FF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 Tome las muestras.</w:t>
      </w:r>
    </w:p>
    <w:p w:rsidR="00314CE6" w:rsidRPr="00A602FF" w:rsidRDefault="00314CE6" w:rsidP="00161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No haga correr el agua inmediatamente antes de tomar la muestra. </w:t>
      </w:r>
    </w:p>
    <w:p w:rsidR="00161052" w:rsidRPr="00A602FF" w:rsidRDefault="00161052" w:rsidP="00161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Coloque la botella abierta debajo del grifo y abra suavemente el grifo de agua fría. </w:t>
      </w:r>
    </w:p>
    <w:p w:rsidR="00161052" w:rsidRPr="00042C53" w:rsidRDefault="00161052" w:rsidP="00161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Llene el recipiente de muestras hasta el hombro de la botella o hasta la línea marcada con “1,000 ml” y cierre el grifo.  </w:t>
      </w:r>
    </w:p>
    <w:p w:rsidR="00161052" w:rsidRPr="00A602FF" w:rsidRDefault="00161052" w:rsidP="00161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Cierre bien la botella.  </w:t>
      </w:r>
    </w:p>
    <w:p w:rsidR="00161052" w:rsidRPr="00A602FF" w:rsidRDefault="00161052" w:rsidP="001610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Etiquete la botella (consulte el paso 4) y colóquela en el kit de muestreo provisto.</w:t>
      </w:r>
    </w:p>
    <w:p w:rsidR="00161052" w:rsidRPr="00A602FF" w:rsidRDefault="00AD1699" w:rsidP="00161052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02FF">
        <w:rPr>
          <w:rFonts w:ascii="Arial" w:hAnsi="Arial" w:cs="Arial"/>
          <w:b/>
          <w:bCs/>
          <w:color w:val="000000"/>
          <w:sz w:val="24"/>
          <w:szCs w:val="24"/>
          <w:lang w:val="es"/>
        </w:rPr>
        <w:t xml:space="preserve">4. Complete el formulario del laboratorio y la etiqueta de la muestra. </w:t>
      </w:r>
    </w:p>
    <w:p w:rsidR="00161052" w:rsidRPr="00A602FF" w:rsidRDefault="00161052" w:rsidP="00161052">
      <w:pPr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Puede proporcionar las etiquetas completas a los propietarios, o bien, completarlas cuando toma las muestras.</w:t>
      </w:r>
    </w:p>
    <w:p w:rsidR="00161052" w:rsidRPr="00A602FF" w:rsidRDefault="00161052" w:rsidP="00161052">
      <w:pPr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Los formularios de los laboratorios varían; asegúrese de incluir los siguientes datos:</w:t>
      </w:r>
    </w:p>
    <w:p w:rsidR="00161052" w:rsidRPr="00042C53" w:rsidRDefault="00161052" w:rsidP="001610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>Nombre y número de identificación del sistema de agua.</w:t>
      </w:r>
    </w:p>
    <w:p w:rsidR="00161052" w:rsidRPr="00042C53" w:rsidRDefault="00161052" w:rsidP="002648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>Tipo de sistema (Grupo A o Grupo B).</w:t>
      </w:r>
    </w:p>
    <w:p w:rsidR="00161052" w:rsidRPr="00042C53" w:rsidRDefault="00161052" w:rsidP="001610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>Fecha y hora en las que se tomó cada muestra.</w:t>
      </w:r>
    </w:p>
    <w:p w:rsidR="00161052" w:rsidRPr="00042C53" w:rsidRDefault="00161052" w:rsidP="001610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>Lugar de muestreo de cada muestra (utilice la dirección u otro identificador de ubicación de la casa donde se tomó la muestra).</w:t>
      </w:r>
    </w:p>
    <w:p w:rsidR="00161052" w:rsidRPr="00A602FF" w:rsidRDefault="00161052" w:rsidP="001610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Número de fuente del DOH (Departamento de Salud); escriba “distribución” para indicar muestras de distribución.</w:t>
      </w:r>
    </w:p>
    <w:p w:rsidR="00161052" w:rsidRPr="00042C53" w:rsidRDefault="00161052" w:rsidP="001610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lang w:val="sv-SE"/>
        </w:rPr>
      </w:pPr>
      <w:r w:rsidRPr="00A602FF">
        <w:rPr>
          <w:rFonts w:ascii="Times New Roman" w:hAnsi="Times New Roman" w:cs="Times New Roman"/>
          <w:color w:val="000000"/>
          <w:lang w:val="es"/>
        </w:rPr>
        <w:t>Propósito de la muestra (generalmente, “RC” [cumplimiento de rutina]).</w:t>
      </w:r>
    </w:p>
    <w:p w:rsidR="00010106" w:rsidRPr="00A602FF" w:rsidRDefault="00010106" w:rsidP="000101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Tipo de muestra (posterior al tratamiento).</w:t>
      </w:r>
    </w:p>
    <w:p w:rsidR="00010106" w:rsidRPr="00A602FF" w:rsidRDefault="00010106" w:rsidP="00AD1699">
      <w:pPr>
        <w:pStyle w:val="ListParagraph"/>
        <w:autoSpaceDE w:val="0"/>
        <w:autoSpaceDN w:val="0"/>
        <w:adjustRightInd w:val="0"/>
        <w:spacing w:after="90" w:line="288" w:lineRule="auto"/>
        <w:textAlignment w:val="center"/>
        <w:rPr>
          <w:rFonts w:ascii="Segoe UI" w:hAnsi="Segoe UI" w:cs="Segoe UI"/>
          <w:color w:val="000000"/>
          <w:sz w:val="18"/>
          <w:szCs w:val="18"/>
        </w:rPr>
      </w:pPr>
    </w:p>
    <w:p w:rsidR="00161052" w:rsidRPr="00A602FF" w:rsidRDefault="00AD1699" w:rsidP="00161052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02FF">
        <w:rPr>
          <w:rFonts w:ascii="Arial" w:hAnsi="Arial" w:cs="Arial"/>
          <w:b/>
          <w:bCs/>
          <w:color w:val="000000"/>
          <w:sz w:val="24"/>
          <w:szCs w:val="24"/>
          <w:lang w:val="es"/>
        </w:rPr>
        <w:t>5. Envíe las muestras.</w:t>
      </w:r>
    </w:p>
    <w:p w:rsidR="00161052" w:rsidRPr="00A602FF" w:rsidRDefault="00161052" w:rsidP="00161052">
      <w:pPr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  <w:spacing w:val="-2"/>
        </w:rPr>
      </w:pPr>
      <w:r w:rsidRPr="00A602FF">
        <w:rPr>
          <w:rFonts w:ascii="Times New Roman" w:hAnsi="Times New Roman" w:cs="Times New Roman"/>
          <w:color w:val="000000"/>
          <w:lang w:val="es"/>
        </w:rPr>
        <w:t>Cuando las muestras estén listas para enviarlas, empaquételas junto con el formulario de información de la muestra completo y envíelas al laboratorio.</w:t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02FF">
        <w:rPr>
          <w:rFonts w:ascii="Arial" w:hAnsi="Arial" w:cs="Arial"/>
          <w:b/>
          <w:bCs/>
          <w:color w:val="000000"/>
          <w:sz w:val="24"/>
          <w:szCs w:val="24"/>
          <w:lang w:val="es"/>
        </w:rPr>
        <w:t>Más información</w:t>
      </w:r>
    </w:p>
    <w:p w:rsidR="00AD1699" w:rsidRPr="00A602FF" w:rsidRDefault="00AD1699" w:rsidP="00AD1699">
      <w:pPr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Si tiene alguna pregunta acerca de los procedimientos de muestreo, llame a nuestra oficina regional:</w:t>
      </w:r>
    </w:p>
    <w:p w:rsidR="00AD1699" w:rsidRPr="00A602FF" w:rsidRDefault="00AD1699" w:rsidP="00AD1699">
      <w:pPr>
        <w:autoSpaceDE w:val="0"/>
        <w:autoSpaceDN w:val="0"/>
        <w:adjustRightInd w:val="0"/>
        <w:spacing w:after="90" w:line="288" w:lineRule="auto"/>
        <w:ind w:left="180" w:hanging="180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b/>
          <w:bCs/>
          <w:color w:val="000000"/>
          <w:lang w:val="es"/>
        </w:rPr>
        <w:t>Región este</w:t>
      </w:r>
      <w:r w:rsidRPr="00A602FF">
        <w:rPr>
          <w:rFonts w:ascii="Times New Roman" w:hAnsi="Times New Roman" w:cs="Times New Roman"/>
          <w:color w:val="000000"/>
          <w:lang w:val="es"/>
        </w:rPr>
        <w:br/>
        <w:t>Spokane Valley</w:t>
      </w:r>
      <w:r w:rsidRPr="00A602FF">
        <w:rPr>
          <w:rFonts w:ascii="Times New Roman" w:hAnsi="Times New Roman" w:cs="Times New Roman"/>
          <w:color w:val="000000"/>
          <w:lang w:val="es"/>
        </w:rPr>
        <w:br/>
        <w:t>509-329-2100</w:t>
      </w:r>
    </w:p>
    <w:p w:rsidR="00AD1699" w:rsidRPr="00A602FF" w:rsidRDefault="00AD1699" w:rsidP="00AD1699">
      <w:pPr>
        <w:autoSpaceDE w:val="0"/>
        <w:autoSpaceDN w:val="0"/>
        <w:adjustRightInd w:val="0"/>
        <w:spacing w:after="90" w:line="288" w:lineRule="auto"/>
        <w:ind w:left="180" w:hanging="180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b/>
          <w:bCs/>
          <w:color w:val="000000"/>
          <w:lang w:val="es"/>
        </w:rPr>
        <w:t>Región noroeste</w:t>
      </w:r>
      <w:r w:rsidRPr="00A602FF">
        <w:rPr>
          <w:rFonts w:ascii="Times New Roman" w:hAnsi="Times New Roman" w:cs="Times New Roman"/>
          <w:color w:val="000000"/>
          <w:lang w:val="es"/>
        </w:rPr>
        <w:br/>
        <w:t>Kent</w:t>
      </w:r>
      <w:r w:rsidRPr="00A602FF">
        <w:rPr>
          <w:rFonts w:ascii="Times New Roman" w:hAnsi="Times New Roman" w:cs="Times New Roman"/>
          <w:color w:val="000000"/>
          <w:lang w:val="es"/>
        </w:rPr>
        <w:br/>
        <w:t>253-395-6750</w:t>
      </w:r>
    </w:p>
    <w:p w:rsidR="00AD1699" w:rsidRPr="00A602FF" w:rsidRDefault="00AD1699" w:rsidP="00AD1699">
      <w:pPr>
        <w:autoSpaceDE w:val="0"/>
        <w:autoSpaceDN w:val="0"/>
        <w:adjustRightInd w:val="0"/>
        <w:spacing w:after="90" w:line="288" w:lineRule="auto"/>
        <w:ind w:left="180" w:hanging="180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b/>
          <w:bCs/>
          <w:color w:val="000000"/>
          <w:lang w:val="es"/>
        </w:rPr>
        <w:t>Región sudoeste</w:t>
      </w:r>
      <w:r w:rsidRPr="00A602FF">
        <w:rPr>
          <w:rFonts w:ascii="Times New Roman" w:hAnsi="Times New Roman" w:cs="Times New Roman"/>
          <w:color w:val="000000"/>
          <w:lang w:val="es"/>
        </w:rPr>
        <w:br/>
        <w:t>Tumwater</w:t>
      </w:r>
      <w:r w:rsidRPr="00A602FF">
        <w:rPr>
          <w:rFonts w:ascii="Times New Roman" w:hAnsi="Times New Roman" w:cs="Times New Roman"/>
          <w:color w:val="000000"/>
          <w:lang w:val="es"/>
        </w:rPr>
        <w:br/>
        <w:t>360-236-3030</w:t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180" w:line="288" w:lineRule="auto"/>
        <w:textAlignment w:val="center"/>
        <w:rPr>
          <w:rFonts w:ascii="Arial" w:hAnsi="Arial" w:cs="Arial"/>
          <w:b/>
          <w:bCs/>
          <w:color w:val="000000"/>
        </w:rPr>
      </w:pPr>
      <w:r w:rsidRPr="00A602FF">
        <w:rPr>
          <w:rFonts w:ascii="Arial" w:hAnsi="Arial" w:cs="Arial"/>
          <w:b/>
          <w:bCs/>
          <w:color w:val="000000"/>
          <w:lang w:val="es"/>
        </w:rPr>
        <w:t xml:space="preserve">Otras publicaciones sobre </w:t>
      </w:r>
      <w:commentRangeStart w:id="2"/>
      <w:r w:rsidRPr="00A602FF">
        <w:rPr>
          <w:rFonts w:ascii="Arial" w:hAnsi="Arial" w:cs="Arial"/>
          <w:b/>
          <w:bCs/>
          <w:color w:val="000000"/>
          <w:lang w:val="es"/>
        </w:rPr>
        <w:t>muestreos</w:t>
      </w:r>
      <w:commentRangeEnd w:id="2"/>
      <w:r w:rsidR="00FF76DF">
        <w:rPr>
          <w:rStyle w:val="CommentReference"/>
        </w:rPr>
        <w:commentReference w:id="2"/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A602FF">
        <w:rPr>
          <w:rFonts w:ascii="Times New Roman" w:hAnsi="Times New Roman" w:cs="Times New Roman"/>
          <w:color w:val="000000"/>
          <w:lang w:val="es"/>
        </w:rPr>
        <w:lastRenderedPageBreak/>
        <w:t xml:space="preserve">Control de Plomo y Cobre (331-111) </w:t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>Procedimientos de Muestreo de Nitratos) (331-222)</w:t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bCs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 Procedimiento de Muestreo de SOC Compuestos Químicos Orgánicos Sintéticos</w:t>
      </w:r>
      <w:proofErr w:type="gramStart"/>
      <w:r w:rsidR="00FF76DF">
        <w:rPr>
          <w:rFonts w:ascii="Times New Roman" w:hAnsi="Times New Roman" w:cs="Times New Roman"/>
          <w:color w:val="000000"/>
          <w:lang w:val="es"/>
        </w:rPr>
        <w:t>)</w:t>
      </w:r>
      <w:r w:rsidRPr="00A602FF">
        <w:rPr>
          <w:rFonts w:ascii="Times New Roman" w:hAnsi="Times New Roman" w:cs="Times New Roman"/>
          <w:color w:val="000000"/>
          <w:lang w:val="es"/>
        </w:rPr>
        <w:t>(</w:t>
      </w:r>
      <w:proofErr w:type="gramEnd"/>
      <w:r w:rsidRPr="00A602FF">
        <w:rPr>
          <w:rFonts w:ascii="Times New Roman" w:hAnsi="Times New Roman" w:cs="Times New Roman"/>
          <w:color w:val="000000"/>
          <w:lang w:val="es"/>
        </w:rPr>
        <w:t>331-224)</w:t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Procedimiento de Muestreo de IOC </w:t>
      </w:r>
      <w:r w:rsidR="00FF76DF">
        <w:rPr>
          <w:rFonts w:ascii="Times New Roman" w:hAnsi="Times New Roman" w:cs="Times New Roman"/>
          <w:color w:val="000000"/>
          <w:lang w:val="es"/>
        </w:rPr>
        <w:t>(</w:t>
      </w:r>
      <w:r w:rsidRPr="00A602FF">
        <w:rPr>
          <w:rFonts w:ascii="Times New Roman" w:hAnsi="Times New Roman" w:cs="Times New Roman"/>
          <w:color w:val="000000"/>
          <w:lang w:val="es"/>
        </w:rPr>
        <w:t>Compuestos Químicos Inorgánicos) (331-221)</w:t>
      </w:r>
    </w:p>
    <w:p w:rsidR="00AD1699" w:rsidRPr="00A602FF" w:rsidRDefault="00AD1699" w:rsidP="00AD1699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 Procedimiento de Muestreo de VOC [Compuestos Químicos Orgánicos Volátiles) (331-220)</w:t>
      </w:r>
    </w:p>
    <w:p w:rsidR="00AD1699" w:rsidRPr="00A602FF" w:rsidRDefault="00FF76DF" w:rsidP="00AD1699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s"/>
        </w:rPr>
        <w:t>(</w:t>
      </w:r>
      <w:proofErr w:type="spellStart"/>
      <w:r w:rsidR="00AD1699" w:rsidRPr="00A602FF">
        <w:rPr>
          <w:rFonts w:ascii="Times New Roman" w:hAnsi="Times New Roman" w:cs="Times New Roman"/>
          <w:color w:val="000000"/>
          <w:lang w:val="es"/>
        </w:rPr>
        <w:t>Trihalometanos</w:t>
      </w:r>
      <w:proofErr w:type="spellEnd"/>
      <w:r w:rsidR="00AD1699" w:rsidRPr="00A602FF">
        <w:rPr>
          <w:rFonts w:ascii="Times New Roman" w:hAnsi="Times New Roman" w:cs="Times New Roman"/>
          <w:color w:val="000000"/>
          <w:lang w:val="es"/>
        </w:rPr>
        <w:t xml:space="preserve"> Totales) (331-226)</w:t>
      </w:r>
    </w:p>
    <w:p w:rsidR="00AD1699" w:rsidRPr="00A602FF" w:rsidRDefault="00AD1699" w:rsidP="00AD1699">
      <w:pPr>
        <w:rPr>
          <w:rFonts w:ascii="Times New Roman" w:hAnsi="Times New Roman" w:cs="Times New Roman"/>
          <w:color w:val="000000"/>
        </w:rPr>
      </w:pPr>
      <w:r w:rsidRPr="00A602FF">
        <w:rPr>
          <w:rFonts w:ascii="Times New Roman" w:hAnsi="Times New Roman" w:cs="Times New Roman"/>
          <w:color w:val="000000"/>
          <w:lang w:val="es"/>
        </w:rPr>
        <w:t xml:space="preserve">Procedimiento de Muestreo de HAA5 </w:t>
      </w:r>
      <w:r w:rsidR="00FF76DF">
        <w:rPr>
          <w:rFonts w:ascii="Times New Roman" w:hAnsi="Times New Roman" w:cs="Times New Roman"/>
          <w:color w:val="000000"/>
          <w:lang w:val="es"/>
        </w:rPr>
        <w:t>(</w:t>
      </w:r>
      <w:r w:rsidRPr="00A602FF">
        <w:rPr>
          <w:rFonts w:ascii="Times New Roman" w:hAnsi="Times New Roman" w:cs="Times New Roman"/>
          <w:color w:val="000000"/>
          <w:lang w:val="es"/>
        </w:rPr>
        <w:t xml:space="preserve">Ácidos </w:t>
      </w:r>
      <w:proofErr w:type="spellStart"/>
      <w:r w:rsidRPr="00A602FF">
        <w:rPr>
          <w:rFonts w:ascii="Times New Roman" w:hAnsi="Times New Roman" w:cs="Times New Roman"/>
          <w:color w:val="000000"/>
          <w:lang w:val="es"/>
        </w:rPr>
        <w:t>Haloacéticos</w:t>
      </w:r>
      <w:proofErr w:type="spellEnd"/>
      <w:r w:rsidRPr="00A602FF">
        <w:rPr>
          <w:rFonts w:ascii="Times New Roman" w:hAnsi="Times New Roman" w:cs="Times New Roman"/>
          <w:color w:val="000000"/>
          <w:lang w:val="es"/>
        </w:rPr>
        <w:t>) (331-223)</w:t>
      </w:r>
    </w:p>
    <w:p w:rsidR="002648AB" w:rsidRPr="00A602FF" w:rsidRDefault="002648AB" w:rsidP="002648AB">
      <w:pPr>
        <w:autoSpaceDE w:val="0"/>
        <w:autoSpaceDN w:val="0"/>
        <w:adjustRightInd w:val="0"/>
        <w:spacing w:after="180"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2648AB" w:rsidRPr="00A602FF" w:rsidRDefault="002648AB" w:rsidP="002648AB">
      <w:pPr>
        <w:pStyle w:val="BodyText"/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A602FF">
        <w:rPr>
          <w:rFonts w:ascii="Times New Roman" w:hAnsi="Times New Roman" w:cs="Times New Roman"/>
          <w:sz w:val="22"/>
          <w:szCs w:val="22"/>
          <w:lang w:val="es"/>
        </w:rPr>
        <w:t xml:space="preserve">Si necesita esta publicación en un formato alternativo, llame al 800-525-0127 (TDD/TTY 711). </w:t>
      </w:r>
    </w:p>
    <w:p w:rsidR="00EE6723" w:rsidRPr="00A602FF" w:rsidRDefault="002648AB" w:rsidP="002648AB">
      <w:pPr>
        <w:pStyle w:val="BodyText"/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A602FF">
        <w:rPr>
          <w:rFonts w:ascii="Times New Roman" w:hAnsi="Times New Roman" w:cs="Times New Roman"/>
          <w:sz w:val="22"/>
          <w:szCs w:val="22"/>
          <w:lang w:val="es"/>
        </w:rPr>
        <w:t xml:space="preserve">Esta y otras publicaciones están disponibles en el sitio web </w:t>
      </w:r>
      <w:hyperlink r:id="rId7" w:history="1">
        <w:r w:rsidRPr="00A602FF">
          <w:rPr>
            <w:rStyle w:val="Hyperlink"/>
            <w:rFonts w:ascii="Times New Roman" w:hAnsi="Times New Roman" w:cs="Times New Roman"/>
            <w:sz w:val="22"/>
            <w:szCs w:val="22"/>
            <w:lang w:val="es"/>
          </w:rPr>
          <w:t>www.doh.gov/eph/dw</w:t>
        </w:r>
      </w:hyperlink>
      <w:r w:rsidRPr="00A602FF">
        <w:rPr>
          <w:sz w:val="18"/>
          <w:szCs w:val="18"/>
          <w:lang w:val="es"/>
        </w:rPr>
        <w:t>.</w:t>
      </w:r>
    </w:p>
    <w:p w:rsidR="002648AB" w:rsidRPr="00A602FF" w:rsidRDefault="002648AB" w:rsidP="002648AB">
      <w:pPr>
        <w:pStyle w:val="BodyText"/>
        <w:spacing w:line="260" w:lineRule="exact"/>
        <w:rPr>
          <w:rFonts w:ascii="Times New Roman" w:hAnsi="Times New Roman" w:cs="Times New Roman"/>
          <w:sz w:val="18"/>
          <w:szCs w:val="18"/>
        </w:rPr>
      </w:pPr>
    </w:p>
    <w:p w:rsidR="002648AB" w:rsidRPr="00A602FF" w:rsidRDefault="002648AB" w:rsidP="00AD1699">
      <w:pPr>
        <w:rPr>
          <w:rFonts w:ascii="Segoe UI" w:hAnsi="Segoe UI" w:cs="Segoe UI"/>
          <w:color w:val="000000"/>
          <w:sz w:val="18"/>
          <w:szCs w:val="18"/>
        </w:rPr>
      </w:pPr>
    </w:p>
    <w:p w:rsidR="00AD1699" w:rsidRPr="00A602FF" w:rsidRDefault="00AD1699" w:rsidP="00161052">
      <w:pPr>
        <w:autoSpaceDE w:val="0"/>
        <w:autoSpaceDN w:val="0"/>
        <w:adjustRightInd w:val="0"/>
        <w:spacing w:after="180" w:line="288" w:lineRule="auto"/>
        <w:textAlignment w:val="center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161052" w:rsidRPr="00A602FF" w:rsidRDefault="00161052" w:rsidP="00161052">
      <w:pPr>
        <w:rPr>
          <w:rFonts w:ascii="Segoe UI" w:hAnsi="Segoe UI" w:cs="Segoe UI"/>
          <w:sz w:val="20"/>
          <w:szCs w:val="20"/>
        </w:rPr>
      </w:pPr>
    </w:p>
    <w:sectPr w:rsidR="00161052" w:rsidRPr="00A6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bra, Cristina A (DOH)" w:date="2016-05-13T16:10:00Z" w:initials="CL">
    <w:p w:rsidR="00FF76DF" w:rsidRDefault="00FF76DF">
      <w:pPr>
        <w:pStyle w:val="CommentText"/>
      </w:pPr>
      <w:r>
        <w:rPr>
          <w:rStyle w:val="CommentReference"/>
        </w:rPr>
        <w:annotationRef/>
      </w:r>
      <w:r>
        <w:t xml:space="preserve">If just in English add “(Solo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>)”</w:t>
      </w:r>
    </w:p>
  </w:comment>
  <w:comment w:id="2" w:author="Labra, Cristina A (DOH)" w:date="2016-05-13T16:19:00Z" w:initials="CL">
    <w:p w:rsidR="00FF76DF" w:rsidRDefault="00FF76DF">
      <w:pPr>
        <w:pStyle w:val="CommentText"/>
      </w:pPr>
      <w:r>
        <w:rPr>
          <w:rStyle w:val="CommentReference"/>
        </w:rPr>
        <w:annotationRef/>
      </w:r>
      <w:r>
        <w:t xml:space="preserve">If the publication is only in English, add at “(Solo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645"/>
    <w:multiLevelType w:val="hybridMultilevel"/>
    <w:tmpl w:val="1CF4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444A"/>
    <w:multiLevelType w:val="hybridMultilevel"/>
    <w:tmpl w:val="2794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458C"/>
    <w:multiLevelType w:val="hybridMultilevel"/>
    <w:tmpl w:val="7FB8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61390"/>
    <w:multiLevelType w:val="hybridMultilevel"/>
    <w:tmpl w:val="6614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5D74"/>
    <w:multiLevelType w:val="hybridMultilevel"/>
    <w:tmpl w:val="C74C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630"/>
    <w:multiLevelType w:val="hybridMultilevel"/>
    <w:tmpl w:val="EED0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52"/>
    <w:rsid w:val="00010106"/>
    <w:rsid w:val="00042C53"/>
    <w:rsid w:val="00107B1F"/>
    <w:rsid w:val="00161052"/>
    <w:rsid w:val="00210AF4"/>
    <w:rsid w:val="002648AB"/>
    <w:rsid w:val="002B7DC3"/>
    <w:rsid w:val="00314CE6"/>
    <w:rsid w:val="0032280E"/>
    <w:rsid w:val="003348D8"/>
    <w:rsid w:val="00351E26"/>
    <w:rsid w:val="003A5712"/>
    <w:rsid w:val="003F153C"/>
    <w:rsid w:val="006D7B11"/>
    <w:rsid w:val="006E4C0D"/>
    <w:rsid w:val="006E5CB1"/>
    <w:rsid w:val="00910325"/>
    <w:rsid w:val="00927769"/>
    <w:rsid w:val="00A55FE3"/>
    <w:rsid w:val="00A602FF"/>
    <w:rsid w:val="00AD1699"/>
    <w:rsid w:val="00AF4F6D"/>
    <w:rsid w:val="00BF7CCE"/>
    <w:rsid w:val="00CD2FD0"/>
    <w:rsid w:val="00CE4A7A"/>
    <w:rsid w:val="00CF39CF"/>
    <w:rsid w:val="00DB4D04"/>
    <w:rsid w:val="00EE672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next w:val="BodyText"/>
    <w:uiPriority w:val="99"/>
    <w:rsid w:val="00161052"/>
    <w:pPr>
      <w:suppressAutoHyphens/>
      <w:autoSpaceDE w:val="0"/>
      <w:autoSpaceDN w:val="0"/>
      <w:adjustRightInd w:val="0"/>
      <w:spacing w:after="180" w:line="288" w:lineRule="auto"/>
      <w:jc w:val="right"/>
      <w:textAlignment w:val="center"/>
    </w:pPr>
    <w:rPr>
      <w:rFonts w:ascii="Myriad Pro" w:hAnsi="Myriad Pro" w:cs="Myriad Pro"/>
      <w:b/>
      <w:bCs/>
      <w:color w:val="000000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161052"/>
    <w:pPr>
      <w:keepNext/>
      <w:autoSpaceDE w:val="0"/>
      <w:autoSpaceDN w:val="0"/>
      <w:adjustRightInd w:val="0"/>
      <w:spacing w:after="18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1052"/>
    <w:rPr>
      <w:rFonts w:ascii="Myriad Pro" w:hAnsi="Myriad Pro" w:cs="Myriad Pro"/>
      <w:color w:val="000000"/>
      <w:sz w:val="20"/>
      <w:szCs w:val="20"/>
    </w:rPr>
  </w:style>
  <w:style w:type="paragraph" w:customStyle="1" w:styleId="BulletList">
    <w:name w:val="Bullet List"/>
    <w:basedOn w:val="BodyText"/>
    <w:uiPriority w:val="99"/>
    <w:rsid w:val="00161052"/>
    <w:pPr>
      <w:spacing w:after="90"/>
      <w:ind w:left="180" w:hanging="180"/>
    </w:pPr>
  </w:style>
  <w:style w:type="character" w:customStyle="1" w:styleId="Numbers">
    <w:name w:val="Numbers"/>
    <w:basedOn w:val="DefaultParagraphFont"/>
    <w:uiPriority w:val="99"/>
    <w:rsid w:val="00161052"/>
    <w:rPr>
      <w:rFonts w:ascii="Wingdings" w:hAnsi="Wingdings" w:cs="Wingding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next w:val="BodyText"/>
    <w:uiPriority w:val="99"/>
    <w:rsid w:val="00161052"/>
    <w:pPr>
      <w:suppressAutoHyphens/>
      <w:autoSpaceDE w:val="0"/>
      <w:autoSpaceDN w:val="0"/>
      <w:adjustRightInd w:val="0"/>
      <w:spacing w:after="180" w:line="288" w:lineRule="auto"/>
      <w:jc w:val="right"/>
      <w:textAlignment w:val="center"/>
    </w:pPr>
    <w:rPr>
      <w:rFonts w:ascii="Myriad Pro" w:hAnsi="Myriad Pro" w:cs="Myriad Pro"/>
      <w:b/>
      <w:bCs/>
      <w:color w:val="000000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161052"/>
    <w:pPr>
      <w:keepNext/>
      <w:autoSpaceDE w:val="0"/>
      <w:autoSpaceDN w:val="0"/>
      <w:adjustRightInd w:val="0"/>
      <w:spacing w:after="180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1052"/>
    <w:rPr>
      <w:rFonts w:ascii="Myriad Pro" w:hAnsi="Myriad Pro" w:cs="Myriad Pro"/>
      <w:color w:val="000000"/>
      <w:sz w:val="20"/>
      <w:szCs w:val="20"/>
    </w:rPr>
  </w:style>
  <w:style w:type="paragraph" w:customStyle="1" w:styleId="BulletList">
    <w:name w:val="Bullet List"/>
    <w:basedOn w:val="BodyText"/>
    <w:uiPriority w:val="99"/>
    <w:rsid w:val="00161052"/>
    <w:pPr>
      <w:spacing w:after="90"/>
      <w:ind w:left="180" w:hanging="180"/>
    </w:pPr>
  </w:style>
  <w:style w:type="character" w:customStyle="1" w:styleId="Numbers">
    <w:name w:val="Numbers"/>
    <w:basedOn w:val="DefaultParagraphFont"/>
    <w:uiPriority w:val="99"/>
    <w:rsid w:val="00161052"/>
    <w:rPr>
      <w:rFonts w:ascii="Wingdings" w:hAnsi="Wingdings" w:cs="Wingding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0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h.gov/eph/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Jon-Mikel (DOH)</dc:creator>
  <cp:lastModifiedBy>hdadmin</cp:lastModifiedBy>
  <cp:revision>2</cp:revision>
  <dcterms:created xsi:type="dcterms:W3CDTF">2016-05-16T17:35:00Z</dcterms:created>
  <dcterms:modified xsi:type="dcterms:W3CDTF">2016-05-16T17:35:00Z</dcterms:modified>
</cp:coreProperties>
</file>