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31" w:rsidRDefault="008470D7" w:rsidP="000A3231">
      <w:pPr>
        <w:pStyle w:val="NoSpacing"/>
        <w:jc w:val="center"/>
        <w:rPr>
          <w:b/>
        </w:rPr>
      </w:pPr>
      <w:bookmarkStart w:id="0" w:name="_GoBack"/>
      <w:bookmarkEnd w:id="0"/>
      <w:r>
        <w:rPr>
          <w:b/>
        </w:rPr>
        <w:t>Model policy (institution)</w:t>
      </w:r>
    </w:p>
    <w:p w:rsidR="008470D7" w:rsidRDefault="008470D7" w:rsidP="000A3231">
      <w:pPr>
        <w:pStyle w:val="NoSpacing"/>
        <w:jc w:val="center"/>
        <w:rPr>
          <w:b/>
        </w:rPr>
      </w:pPr>
    </w:p>
    <w:p w:rsidR="008470D7" w:rsidRDefault="008470D7" w:rsidP="008470D7">
      <w:pPr>
        <w:pStyle w:val="NoSpacing"/>
        <w:rPr>
          <w:b/>
        </w:rPr>
      </w:pPr>
      <w:r>
        <w:rPr>
          <w:b/>
        </w:rPr>
        <w:t>[State Institution] Policy</w:t>
      </w:r>
    </w:p>
    <w:p w:rsidR="00775CB9" w:rsidRDefault="00775CB9" w:rsidP="000A3231">
      <w:pPr>
        <w:pStyle w:val="NoSpacing"/>
        <w:jc w:val="center"/>
        <w:rPr>
          <w:b/>
        </w:rPr>
      </w:pPr>
    </w:p>
    <w:tbl>
      <w:tblPr>
        <w:tblW w:w="10811" w:type="dxa"/>
        <w:jc w:val="center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266"/>
        <w:gridCol w:w="4500"/>
        <w:gridCol w:w="1080"/>
        <w:gridCol w:w="1800"/>
        <w:gridCol w:w="720"/>
        <w:gridCol w:w="1445"/>
      </w:tblGrid>
      <w:tr w:rsidR="008B56E3" w:rsidTr="00F16327">
        <w:trPr>
          <w:jc w:val="center"/>
        </w:trPr>
        <w:tc>
          <w:tcPr>
            <w:tcW w:w="1266" w:type="dxa"/>
            <w:tcBorders>
              <w:top w:val="single" w:sz="30" w:space="0" w:color="auto"/>
              <w:left w:val="nil"/>
              <w:bottom w:val="nil"/>
              <w:right w:val="nil"/>
            </w:tcBorders>
            <w:shd w:val="pct10" w:color="auto" w:fill="auto"/>
          </w:tcPr>
          <w:p w:rsidR="008B56E3" w:rsidRDefault="008B56E3" w:rsidP="00F16327">
            <w:pPr>
              <w:tabs>
                <w:tab w:val="left" w:pos="-720"/>
              </w:tabs>
              <w:suppressAutoHyphens/>
              <w:spacing w:before="90" w:after="54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Title:</w:t>
            </w:r>
          </w:p>
        </w:tc>
        <w:tc>
          <w:tcPr>
            <w:tcW w:w="7380" w:type="dxa"/>
            <w:gridSpan w:val="3"/>
            <w:tcBorders>
              <w:top w:val="single" w:sz="30" w:space="0" w:color="auto"/>
              <w:left w:val="nil"/>
              <w:bottom w:val="nil"/>
              <w:right w:val="nil"/>
            </w:tcBorders>
            <w:shd w:val="pct10" w:color="auto" w:fill="auto"/>
          </w:tcPr>
          <w:p w:rsidR="008B56E3" w:rsidRDefault="008B56E3" w:rsidP="004F79AF">
            <w:pPr>
              <w:tabs>
                <w:tab w:val="right" w:pos="8167"/>
              </w:tabs>
              <w:suppressAutoHyphens/>
              <w:spacing w:before="90" w:after="54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Food Service Policy</w:t>
            </w:r>
            <w:r w:rsidR="004F79AF">
              <w:rPr>
                <w:rFonts w:ascii="Tahoma" w:hAnsi="Tahoma"/>
                <w:sz w:val="22"/>
              </w:rPr>
              <w:t xml:space="preserve"> for Custodial Populations</w:t>
            </w:r>
            <w:r>
              <w:rPr>
                <w:rFonts w:ascii="Tahoma" w:hAnsi="Tahoma"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30" w:space="0" w:color="auto"/>
              <w:left w:val="nil"/>
              <w:bottom w:val="nil"/>
              <w:right w:val="nil"/>
            </w:tcBorders>
            <w:shd w:val="pct10" w:color="auto" w:fill="auto"/>
          </w:tcPr>
          <w:p w:rsidR="008B56E3" w:rsidRPr="008C6BE7" w:rsidRDefault="008B56E3" w:rsidP="00F16327">
            <w:pPr>
              <w:tabs>
                <w:tab w:val="left" w:pos="-720"/>
              </w:tabs>
              <w:suppressAutoHyphens/>
              <w:spacing w:before="90" w:after="54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16"/>
              </w:rPr>
              <w:t>Number:</w:t>
            </w:r>
          </w:p>
        </w:tc>
        <w:tc>
          <w:tcPr>
            <w:tcW w:w="1445" w:type="dxa"/>
            <w:tcBorders>
              <w:top w:val="single" w:sz="30" w:space="0" w:color="auto"/>
              <w:left w:val="nil"/>
              <w:bottom w:val="nil"/>
              <w:right w:val="nil"/>
            </w:tcBorders>
            <w:shd w:val="pct10" w:color="auto" w:fill="auto"/>
          </w:tcPr>
          <w:p w:rsidR="008B56E3" w:rsidRPr="008C6BE7" w:rsidRDefault="008B56E3" w:rsidP="00F16327">
            <w:pPr>
              <w:tabs>
                <w:tab w:val="left" w:pos="-720"/>
              </w:tabs>
              <w:suppressAutoHyphens/>
              <w:spacing w:before="90" w:after="54"/>
              <w:rPr>
                <w:rFonts w:ascii="Tahoma" w:hAnsi="Tahoma"/>
                <w:sz w:val="22"/>
                <w:szCs w:val="22"/>
              </w:rPr>
            </w:pPr>
          </w:p>
        </w:tc>
      </w:tr>
      <w:tr w:rsidR="008B56E3" w:rsidTr="00F16327">
        <w:trPr>
          <w:jc w:val="center"/>
        </w:trPr>
        <w:tc>
          <w:tcPr>
            <w:tcW w:w="1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10" w:color="auto" w:fill="auto"/>
          </w:tcPr>
          <w:p w:rsidR="008B56E3" w:rsidRDefault="008B56E3" w:rsidP="00F16327">
            <w:pPr>
              <w:tabs>
                <w:tab w:val="left" w:pos="-720"/>
              </w:tabs>
              <w:suppressAutoHyphens/>
              <w:spacing w:before="90" w:after="54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Procedure:</w:t>
            </w:r>
          </w:p>
        </w:tc>
        <w:tc>
          <w:tcPr>
            <w:tcW w:w="954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pct10" w:color="auto" w:fill="auto"/>
          </w:tcPr>
          <w:p w:rsidR="008B56E3" w:rsidRDefault="008B56E3" w:rsidP="00F16327">
            <w:pPr>
              <w:tabs>
                <w:tab w:val="left" w:pos="-720"/>
              </w:tabs>
              <w:suppressAutoHyphens/>
              <w:spacing w:before="90" w:after="54"/>
              <w:rPr>
                <w:rFonts w:ascii="Tahoma" w:hAnsi="Tahoma"/>
                <w:sz w:val="22"/>
              </w:rPr>
            </w:pPr>
          </w:p>
        </w:tc>
      </w:tr>
      <w:tr w:rsidR="008B56E3" w:rsidTr="00F16327">
        <w:trPr>
          <w:jc w:val="center"/>
        </w:trPr>
        <w:tc>
          <w:tcPr>
            <w:tcW w:w="1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10" w:color="auto" w:fill="auto"/>
          </w:tcPr>
          <w:p w:rsidR="008B56E3" w:rsidRDefault="008B56E3" w:rsidP="00F16327">
            <w:pPr>
              <w:tabs>
                <w:tab w:val="left" w:pos="-720"/>
              </w:tabs>
              <w:suppressAutoHyphens/>
              <w:spacing w:before="90" w:after="54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References:</w:t>
            </w:r>
          </w:p>
        </w:tc>
        <w:tc>
          <w:tcPr>
            <w:tcW w:w="954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pct10" w:color="auto" w:fill="auto"/>
          </w:tcPr>
          <w:p w:rsidR="008B56E3" w:rsidRDefault="008B56E3" w:rsidP="00F16327">
            <w:pPr>
              <w:tabs>
                <w:tab w:val="left" w:pos="-720"/>
              </w:tabs>
              <w:suppressAutoHyphens/>
              <w:spacing w:before="90" w:after="54"/>
              <w:rPr>
                <w:rFonts w:ascii="Tahoma" w:hAnsi="Tahoma"/>
                <w:sz w:val="22"/>
              </w:rPr>
            </w:pPr>
          </w:p>
        </w:tc>
      </w:tr>
      <w:tr w:rsidR="008B56E3" w:rsidTr="00F16327">
        <w:trPr>
          <w:jc w:val="center"/>
        </w:trPr>
        <w:tc>
          <w:tcPr>
            <w:tcW w:w="1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10" w:color="auto" w:fill="auto"/>
          </w:tcPr>
          <w:p w:rsidR="008B56E3" w:rsidRPr="00902A22" w:rsidRDefault="008B56E3" w:rsidP="00F16327">
            <w:pPr>
              <w:tabs>
                <w:tab w:val="left" w:pos="-720"/>
              </w:tabs>
              <w:suppressAutoHyphens/>
              <w:spacing w:before="9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Applies to:</w:t>
            </w:r>
          </w:p>
        </w:tc>
        <w:tc>
          <w:tcPr>
            <w:tcW w:w="954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pct10" w:color="auto" w:fill="auto"/>
          </w:tcPr>
          <w:p w:rsidR="008B56E3" w:rsidRDefault="00924F5A" w:rsidP="008B56E3">
            <w:pPr>
              <w:tabs>
                <w:tab w:val="left" w:pos="-720"/>
              </w:tabs>
              <w:suppressAutoHyphens/>
              <w:spacing w:before="90" w:after="54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Custodial Population</w:t>
            </w:r>
          </w:p>
        </w:tc>
      </w:tr>
      <w:tr w:rsidR="008B56E3" w:rsidTr="00F16327">
        <w:trPr>
          <w:jc w:val="center"/>
        </w:trPr>
        <w:tc>
          <w:tcPr>
            <w:tcW w:w="1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10" w:color="auto" w:fill="auto"/>
          </w:tcPr>
          <w:p w:rsidR="008B56E3" w:rsidRDefault="008B56E3" w:rsidP="00F16327">
            <w:pPr>
              <w:tabs>
                <w:tab w:val="left" w:pos="-720"/>
              </w:tabs>
              <w:suppressAutoHyphens/>
              <w:spacing w:before="90" w:after="54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Contact:</w:t>
            </w:r>
          </w:p>
        </w:tc>
        <w:tc>
          <w:tcPr>
            <w:tcW w:w="954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pct10" w:color="auto" w:fill="auto"/>
          </w:tcPr>
          <w:p w:rsidR="008B56E3" w:rsidRDefault="008B56E3" w:rsidP="00F16327">
            <w:pPr>
              <w:tabs>
                <w:tab w:val="left" w:pos="-720"/>
              </w:tabs>
              <w:suppressAutoHyphens/>
              <w:spacing w:before="90" w:after="54"/>
              <w:rPr>
                <w:rFonts w:ascii="Tahoma" w:hAnsi="Tahoma"/>
                <w:sz w:val="22"/>
              </w:rPr>
            </w:pPr>
          </w:p>
        </w:tc>
      </w:tr>
      <w:tr w:rsidR="008B56E3" w:rsidTr="00F16327">
        <w:trPr>
          <w:jc w:val="center"/>
        </w:trPr>
        <w:tc>
          <w:tcPr>
            <w:tcW w:w="1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10" w:color="auto" w:fill="auto"/>
          </w:tcPr>
          <w:p w:rsidR="008B56E3" w:rsidRDefault="008B56E3" w:rsidP="00F16327">
            <w:pPr>
              <w:tabs>
                <w:tab w:val="left" w:pos="-720"/>
              </w:tabs>
              <w:suppressAutoHyphens/>
              <w:spacing w:before="90" w:after="54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Effective Date: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10" w:color="auto" w:fill="auto"/>
          </w:tcPr>
          <w:p w:rsidR="008B56E3" w:rsidRDefault="008B56E3" w:rsidP="00F16327">
            <w:pPr>
              <w:tabs>
                <w:tab w:val="left" w:pos="-720"/>
              </w:tabs>
              <w:suppressAutoHyphens/>
              <w:spacing w:before="90" w:after="54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July 1, 2014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10" w:color="auto" w:fill="auto"/>
          </w:tcPr>
          <w:p w:rsidR="008B56E3" w:rsidRPr="00E2067E" w:rsidRDefault="008B56E3" w:rsidP="00F16327">
            <w:pPr>
              <w:tabs>
                <w:tab w:val="left" w:pos="-720"/>
              </w:tabs>
              <w:suppressAutoHyphens/>
              <w:spacing w:before="90" w:after="54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16"/>
                <w:szCs w:val="16"/>
              </w:rPr>
              <w:t>Re</w:t>
            </w:r>
            <w:r w:rsidRPr="00B46153">
              <w:rPr>
                <w:rFonts w:ascii="Tahoma" w:hAnsi="Tahoma"/>
                <w:sz w:val="16"/>
                <w:szCs w:val="16"/>
              </w:rPr>
              <w:t>view Date:</w:t>
            </w:r>
          </w:p>
        </w:tc>
        <w:tc>
          <w:tcPr>
            <w:tcW w:w="396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pct10" w:color="auto" w:fill="auto"/>
          </w:tcPr>
          <w:p w:rsidR="008B56E3" w:rsidRPr="00E2067E" w:rsidRDefault="008B56E3" w:rsidP="00F16327">
            <w:pPr>
              <w:tabs>
                <w:tab w:val="left" w:pos="-720"/>
              </w:tabs>
              <w:suppressAutoHyphens/>
              <w:spacing w:before="90" w:after="54"/>
              <w:rPr>
                <w:rFonts w:ascii="Tahoma" w:hAnsi="Tahoma"/>
                <w:sz w:val="22"/>
                <w:szCs w:val="22"/>
              </w:rPr>
            </w:pPr>
          </w:p>
        </w:tc>
      </w:tr>
      <w:tr w:rsidR="008B56E3" w:rsidTr="00F16327">
        <w:trPr>
          <w:jc w:val="center"/>
        </w:trPr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10" w:color="auto" w:fill="auto"/>
          </w:tcPr>
          <w:p w:rsidR="008B56E3" w:rsidRDefault="008B56E3" w:rsidP="00F16327">
            <w:pPr>
              <w:tabs>
                <w:tab w:val="left" w:pos="-720"/>
              </w:tabs>
              <w:suppressAutoHyphens/>
              <w:spacing w:before="90" w:after="54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Supersedes:</w:t>
            </w:r>
          </w:p>
        </w:tc>
        <w:tc>
          <w:tcPr>
            <w:tcW w:w="954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10" w:color="auto" w:fill="auto"/>
          </w:tcPr>
          <w:p w:rsidR="008B56E3" w:rsidRDefault="008B56E3" w:rsidP="00F16327">
            <w:pPr>
              <w:tabs>
                <w:tab w:val="left" w:pos="-720"/>
              </w:tabs>
              <w:suppressAutoHyphens/>
              <w:spacing w:before="90" w:after="54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New Policy</w:t>
            </w:r>
          </w:p>
        </w:tc>
      </w:tr>
      <w:tr w:rsidR="008B56E3" w:rsidTr="00F16327">
        <w:trPr>
          <w:jc w:val="center"/>
        </w:trPr>
        <w:tc>
          <w:tcPr>
            <w:tcW w:w="1266" w:type="dxa"/>
            <w:tcBorders>
              <w:top w:val="single" w:sz="6" w:space="0" w:color="auto"/>
              <w:left w:val="nil"/>
              <w:bottom w:val="single" w:sz="24" w:space="0" w:color="auto"/>
              <w:right w:val="nil"/>
            </w:tcBorders>
            <w:shd w:val="pct10" w:color="auto" w:fill="auto"/>
          </w:tcPr>
          <w:p w:rsidR="008B56E3" w:rsidRDefault="008B56E3" w:rsidP="00F16327">
            <w:pPr>
              <w:tabs>
                <w:tab w:val="left" w:pos="-720"/>
              </w:tabs>
              <w:suppressAutoHyphens/>
              <w:spacing w:before="90" w:after="54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Approved: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24" w:space="0" w:color="auto"/>
              <w:right w:val="nil"/>
            </w:tcBorders>
            <w:shd w:val="pct10" w:color="auto" w:fill="auto"/>
          </w:tcPr>
          <w:p w:rsidR="008B56E3" w:rsidRDefault="008B56E3" w:rsidP="00F16327">
            <w:pPr>
              <w:tabs>
                <w:tab w:val="left" w:pos="-720"/>
              </w:tabs>
              <w:suppressAutoHyphens/>
              <w:spacing w:before="90" w:after="54"/>
              <w:rPr>
                <w:rFonts w:ascii="Tahoma" w:hAnsi="Tahoma"/>
                <w:sz w:val="22"/>
              </w:rPr>
            </w:pPr>
          </w:p>
        </w:tc>
        <w:tc>
          <w:tcPr>
            <w:tcW w:w="5045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nil"/>
            </w:tcBorders>
            <w:shd w:val="pct10" w:color="auto" w:fill="auto"/>
          </w:tcPr>
          <w:p w:rsidR="008B56E3" w:rsidRDefault="008B56E3" w:rsidP="00F16327">
            <w:pPr>
              <w:tabs>
                <w:tab w:val="left" w:pos="-720"/>
              </w:tabs>
              <w:suppressAutoHyphens/>
              <w:spacing w:before="90" w:after="54"/>
              <w:rPr>
                <w:rFonts w:ascii="Tahoma" w:hAnsi="Tahoma"/>
                <w:sz w:val="22"/>
              </w:rPr>
            </w:pPr>
          </w:p>
        </w:tc>
      </w:tr>
    </w:tbl>
    <w:p w:rsidR="008B56E3" w:rsidRDefault="008B56E3" w:rsidP="00775CB9">
      <w:pPr>
        <w:pStyle w:val="NoSpacing"/>
        <w:rPr>
          <w:b/>
        </w:rPr>
      </w:pPr>
    </w:p>
    <w:p w:rsidR="008B56E3" w:rsidRDefault="008B56E3" w:rsidP="00775CB9">
      <w:pPr>
        <w:pStyle w:val="NoSpacing"/>
        <w:rPr>
          <w:b/>
        </w:rPr>
      </w:pPr>
    </w:p>
    <w:p w:rsidR="00B13EE5" w:rsidRDefault="00B13EE5" w:rsidP="000A3231">
      <w:pPr>
        <w:pStyle w:val="NoSpacing"/>
        <w:rPr>
          <w:b/>
        </w:rPr>
      </w:pPr>
      <w:r>
        <w:rPr>
          <w:b/>
        </w:rPr>
        <w:t>Policy</w:t>
      </w:r>
      <w:r w:rsidR="008B56E3">
        <w:rPr>
          <w:b/>
        </w:rPr>
        <w:t xml:space="preserve"> Statement</w:t>
      </w:r>
      <w:r>
        <w:rPr>
          <w:b/>
        </w:rPr>
        <w:t>:</w:t>
      </w:r>
    </w:p>
    <w:p w:rsidR="00B13EE5" w:rsidRDefault="00B13EE5" w:rsidP="00667687">
      <w:pPr>
        <w:pStyle w:val="NoSpacing"/>
      </w:pPr>
      <w:r>
        <w:t xml:space="preserve">The </w:t>
      </w:r>
      <w:r w:rsidR="00667687">
        <w:t>{</w:t>
      </w:r>
      <w:r>
        <w:t>State Agency</w:t>
      </w:r>
      <w:r w:rsidR="00667687">
        <w:t>}</w:t>
      </w:r>
      <w:r>
        <w:t xml:space="preserve"> supports efforts to</w:t>
      </w:r>
      <w:r w:rsidR="007F3C07">
        <w:t xml:space="preserve"> create a healthy </w:t>
      </w:r>
      <w:r w:rsidR="00D315BF">
        <w:t>environment</w:t>
      </w:r>
      <w:r w:rsidR="007F3C07">
        <w:t xml:space="preserve"> for </w:t>
      </w:r>
      <w:r w:rsidR="00D315BF">
        <w:t>individuals in our custody</w:t>
      </w:r>
      <w:r w:rsidR="00CB30A2">
        <w:t>. In support of that goal, we are</w:t>
      </w:r>
      <w:r w:rsidR="005E421B">
        <w:t xml:space="preserve"> </w:t>
      </w:r>
      <w:r w:rsidR="00B33465">
        <w:t>ensuring</w:t>
      </w:r>
      <w:r>
        <w:t xml:space="preserve"> </w:t>
      </w:r>
      <w:r w:rsidR="00775CB9">
        <w:t>access to</w:t>
      </w:r>
      <w:r>
        <w:t xml:space="preserve"> healthy</w:t>
      </w:r>
      <w:r w:rsidR="004F79AF">
        <w:t xml:space="preserve"> menus</w:t>
      </w:r>
      <w:r>
        <w:t xml:space="preserve"> </w:t>
      </w:r>
      <w:r w:rsidR="004F79AF">
        <w:t xml:space="preserve">served to </w:t>
      </w:r>
      <w:r w:rsidR="00D315BF">
        <w:t xml:space="preserve">these </w:t>
      </w:r>
      <w:r w:rsidR="004F79AF">
        <w:t>individuals</w:t>
      </w:r>
      <w:r>
        <w:t>.</w:t>
      </w:r>
      <w:r w:rsidR="00667687">
        <w:t xml:space="preserve">  </w:t>
      </w:r>
      <w:r w:rsidR="0026038A">
        <w:t xml:space="preserve">Food and beverages </w:t>
      </w:r>
      <w:r w:rsidR="00667687">
        <w:t>serve</w:t>
      </w:r>
      <w:r w:rsidR="0026038A">
        <w:t>d</w:t>
      </w:r>
      <w:r>
        <w:t xml:space="preserve"> </w:t>
      </w:r>
      <w:r w:rsidR="0026038A">
        <w:t>must</w:t>
      </w:r>
      <w:r>
        <w:t xml:space="preserve"> meet defined nutrition guidelines</w:t>
      </w:r>
      <w:r w:rsidR="00B21CE1">
        <w:t xml:space="preserve"> (guidelines)</w:t>
      </w:r>
      <w:r w:rsidR="00835FF9">
        <w:t xml:space="preserve"> in accordance with Executive Order 13-06</w:t>
      </w:r>
      <w:r>
        <w:t xml:space="preserve">.  These guidelines </w:t>
      </w:r>
      <w:r w:rsidR="00775CB9">
        <w:t>must be fully implemented by December 31, 2016</w:t>
      </w:r>
      <w:r>
        <w:t>.</w:t>
      </w:r>
    </w:p>
    <w:p w:rsidR="00835FF9" w:rsidRDefault="00835FF9" w:rsidP="00835FF9">
      <w:pPr>
        <w:pStyle w:val="NoSpacing"/>
      </w:pPr>
    </w:p>
    <w:p w:rsidR="00667687" w:rsidRDefault="00433528" w:rsidP="00835FF9">
      <w:pPr>
        <w:pStyle w:val="NoSpacing"/>
        <w:rPr>
          <w:b/>
        </w:rPr>
      </w:pPr>
      <w:r>
        <w:rPr>
          <w:b/>
        </w:rPr>
        <w:t>Resources:</w:t>
      </w:r>
    </w:p>
    <w:p w:rsidR="00B21CE1" w:rsidRPr="008470D7" w:rsidRDefault="00904CE9" w:rsidP="00835FF9">
      <w:pPr>
        <w:pStyle w:val="NoSpacing"/>
      </w:pPr>
      <w:hyperlink r:id="rId9" w:history="1">
        <w:r w:rsidR="001177B4" w:rsidRPr="008470D7">
          <w:rPr>
            <w:rStyle w:val="Hyperlink"/>
            <w:u w:val="none"/>
          </w:rPr>
          <w:t>www.doh.wa.gov/choosewell-livewell</w:t>
        </w:r>
      </w:hyperlink>
      <w:r w:rsidR="001177B4" w:rsidRPr="008470D7">
        <w:t xml:space="preserve"> </w:t>
      </w:r>
    </w:p>
    <w:p w:rsidR="000710C0" w:rsidRPr="008470D7" w:rsidRDefault="000710C0" w:rsidP="00835FF9">
      <w:pPr>
        <w:pStyle w:val="NoSpacing"/>
      </w:pPr>
    </w:p>
    <w:p w:rsidR="00835FF9" w:rsidRDefault="00667687" w:rsidP="00835FF9">
      <w:pPr>
        <w:pStyle w:val="NoSpacing"/>
        <w:rPr>
          <w:b/>
        </w:rPr>
      </w:pPr>
      <w:r>
        <w:rPr>
          <w:b/>
        </w:rPr>
        <w:t>Framework:</w:t>
      </w:r>
    </w:p>
    <w:p w:rsidR="008936B8" w:rsidRDefault="00CB30A2" w:rsidP="00835FF9">
      <w:pPr>
        <w:pStyle w:val="NoSpacing"/>
      </w:pPr>
      <w:r>
        <w:t xml:space="preserve">This policy </w:t>
      </w:r>
      <w:r w:rsidR="007F3C07">
        <w:t>ensures that</w:t>
      </w:r>
      <w:r w:rsidR="00B21CE1">
        <w:t xml:space="preserve"> food and beverages </w:t>
      </w:r>
      <w:r w:rsidR="0026038A">
        <w:t xml:space="preserve">we </w:t>
      </w:r>
      <w:r w:rsidR="00B21CE1">
        <w:t>serve meet the Healthy Nutrition Guidelines</w:t>
      </w:r>
      <w:r w:rsidR="00433528">
        <w:t xml:space="preserve"> defined by the Department of Health</w:t>
      </w:r>
      <w:r w:rsidR="00D315BF">
        <w:t>.</w:t>
      </w:r>
      <w:r w:rsidR="00B21CE1">
        <w:t xml:space="preserve"> </w:t>
      </w:r>
      <w:r w:rsidR="00835FF9">
        <w:t xml:space="preserve">The </w:t>
      </w:r>
      <w:r w:rsidR="00B21CE1">
        <w:t>{</w:t>
      </w:r>
      <w:r w:rsidR="00D315BF">
        <w:t>Agency Point-of-Contact</w:t>
      </w:r>
      <w:r w:rsidR="00B21CE1">
        <w:t>}</w:t>
      </w:r>
      <w:r w:rsidR="00835FF9">
        <w:t xml:space="preserve"> </w:t>
      </w:r>
      <w:r w:rsidR="00B21CE1">
        <w:t xml:space="preserve">is the </w:t>
      </w:r>
      <w:r w:rsidR="00D315BF">
        <w:t>individual</w:t>
      </w:r>
      <w:r w:rsidR="00B21CE1">
        <w:t xml:space="preserve"> responsible for </w:t>
      </w:r>
      <w:r w:rsidR="00D315BF">
        <w:t xml:space="preserve">overseeing the </w:t>
      </w:r>
      <w:r w:rsidR="00B21CE1">
        <w:t>implement</w:t>
      </w:r>
      <w:r w:rsidR="00D315BF">
        <w:t>ation</w:t>
      </w:r>
      <w:r w:rsidR="00B21CE1">
        <w:t xml:space="preserve"> and monitoring </w:t>
      </w:r>
      <w:r w:rsidR="00D315BF">
        <w:t>of</w:t>
      </w:r>
      <w:r w:rsidR="00B21CE1">
        <w:t xml:space="preserve"> the guidelines.  </w:t>
      </w:r>
    </w:p>
    <w:p w:rsidR="00D315BF" w:rsidRDefault="00D315BF" w:rsidP="00835FF9">
      <w:pPr>
        <w:pStyle w:val="NoSpacing"/>
      </w:pPr>
    </w:p>
    <w:p w:rsidR="008936B8" w:rsidRPr="008936B8" w:rsidRDefault="008936B8" w:rsidP="008936B8">
      <w:pPr>
        <w:rPr>
          <w:rFonts w:asciiTheme="minorHAnsi" w:hAnsiTheme="minorHAnsi" w:cstheme="minorHAnsi"/>
          <w:color w:val="FF0000"/>
          <w:sz w:val="22"/>
        </w:rPr>
      </w:pPr>
      <w:r w:rsidRPr="008936B8">
        <w:rPr>
          <w:rFonts w:asciiTheme="minorHAnsi" w:hAnsiTheme="minorHAnsi" w:cstheme="minorHAnsi"/>
          <w:b/>
          <w:sz w:val="22"/>
        </w:rPr>
        <w:t xml:space="preserve">Review and Approval: </w:t>
      </w:r>
    </w:p>
    <w:p w:rsidR="008936B8" w:rsidRPr="008936B8" w:rsidRDefault="008936B8" w:rsidP="008936B8">
      <w:pPr>
        <w:rPr>
          <w:rFonts w:asciiTheme="minorHAnsi" w:hAnsiTheme="minorHAnsi" w:cstheme="minorHAnsi"/>
          <w:sz w:val="22"/>
        </w:rPr>
      </w:pPr>
      <w:r w:rsidRPr="008936B8">
        <w:rPr>
          <w:rFonts w:asciiTheme="minorHAnsi" w:hAnsiTheme="minorHAnsi" w:cstheme="minorHAnsi"/>
          <w:sz w:val="22"/>
        </w:rPr>
        <w:t xml:space="preserve">The </w:t>
      </w:r>
      <w:r>
        <w:rPr>
          <w:rFonts w:asciiTheme="minorHAnsi" w:hAnsiTheme="minorHAnsi" w:cstheme="minorHAnsi"/>
          <w:sz w:val="22"/>
        </w:rPr>
        <w:t>{</w:t>
      </w:r>
      <w:r w:rsidR="00D315BF">
        <w:rPr>
          <w:rFonts w:asciiTheme="minorHAnsi" w:hAnsiTheme="minorHAnsi" w:cstheme="minorHAnsi"/>
          <w:sz w:val="22"/>
        </w:rPr>
        <w:t>Agency Point-of-Contact</w:t>
      </w:r>
      <w:r>
        <w:rPr>
          <w:rFonts w:asciiTheme="minorHAnsi" w:hAnsiTheme="minorHAnsi" w:cstheme="minorHAnsi"/>
          <w:sz w:val="22"/>
        </w:rPr>
        <w:t>}</w:t>
      </w:r>
      <w:r w:rsidRPr="008936B8">
        <w:rPr>
          <w:rFonts w:asciiTheme="minorHAnsi" w:hAnsiTheme="minorHAnsi" w:cstheme="minorHAnsi"/>
          <w:sz w:val="22"/>
        </w:rPr>
        <w:t xml:space="preserve"> is responsible to coordinate any updates or rescission of this policy or its associated procedure(s) with the Labor Relations Manager in the Office of Human Resources.  The </w:t>
      </w:r>
      <w:r w:rsidR="0026038A">
        <w:t>{</w:t>
      </w:r>
      <w:r w:rsidR="0026038A">
        <w:rPr>
          <w:rFonts w:asciiTheme="minorHAnsi" w:hAnsiTheme="minorHAnsi" w:cstheme="minorHAnsi"/>
          <w:sz w:val="22"/>
        </w:rPr>
        <w:t xml:space="preserve">Department Director/Secretary, </w:t>
      </w:r>
      <w:r w:rsidR="00D315BF">
        <w:rPr>
          <w:rFonts w:asciiTheme="minorHAnsi" w:hAnsiTheme="minorHAnsi" w:cstheme="minorHAnsi"/>
          <w:sz w:val="22"/>
        </w:rPr>
        <w:t>s</w:t>
      </w:r>
      <w:r w:rsidR="0026038A">
        <w:rPr>
          <w:rFonts w:asciiTheme="minorHAnsi" w:hAnsiTheme="minorHAnsi" w:cstheme="minorHAnsi"/>
          <w:sz w:val="22"/>
        </w:rPr>
        <w:t xml:space="preserve">tate </w:t>
      </w:r>
      <w:r w:rsidR="00D315BF">
        <w:rPr>
          <w:rFonts w:asciiTheme="minorHAnsi" w:hAnsiTheme="minorHAnsi" w:cstheme="minorHAnsi"/>
          <w:sz w:val="22"/>
        </w:rPr>
        <w:t>a</w:t>
      </w:r>
      <w:r w:rsidR="0026038A">
        <w:rPr>
          <w:rFonts w:asciiTheme="minorHAnsi" w:hAnsiTheme="minorHAnsi" w:cstheme="minorHAnsi"/>
          <w:sz w:val="22"/>
        </w:rPr>
        <w:t>gency</w:t>
      </w:r>
      <w:r w:rsidR="0026038A">
        <w:t>}</w:t>
      </w:r>
      <w:r w:rsidRPr="008936B8">
        <w:rPr>
          <w:rFonts w:asciiTheme="minorHAnsi" w:hAnsiTheme="minorHAnsi" w:cstheme="minorHAnsi"/>
          <w:sz w:val="22"/>
        </w:rPr>
        <w:t xml:space="preserve">, has full authority to review and approve this policy and </w:t>
      </w:r>
      <w:r w:rsidR="0026038A">
        <w:rPr>
          <w:rFonts w:asciiTheme="minorHAnsi" w:hAnsiTheme="minorHAnsi" w:cstheme="minorHAnsi"/>
          <w:sz w:val="22"/>
        </w:rPr>
        <w:t xml:space="preserve">any </w:t>
      </w:r>
      <w:r w:rsidRPr="008936B8">
        <w:rPr>
          <w:rFonts w:asciiTheme="minorHAnsi" w:hAnsiTheme="minorHAnsi" w:cstheme="minorHAnsi"/>
          <w:sz w:val="22"/>
        </w:rPr>
        <w:t xml:space="preserve">associated procedure.  The </w:t>
      </w:r>
      <w:r w:rsidR="0026038A">
        <w:t>{</w:t>
      </w:r>
      <w:r w:rsidR="0026038A">
        <w:rPr>
          <w:rFonts w:asciiTheme="minorHAnsi" w:hAnsiTheme="minorHAnsi" w:cstheme="minorHAnsi"/>
          <w:sz w:val="22"/>
        </w:rPr>
        <w:t>Department Director/Secretary, state agency</w:t>
      </w:r>
      <w:r w:rsidR="007F3C07">
        <w:t>}</w:t>
      </w:r>
      <w:r w:rsidR="007F3C07" w:rsidRPr="008936B8">
        <w:rPr>
          <w:rFonts w:asciiTheme="minorHAnsi" w:hAnsiTheme="minorHAnsi" w:cstheme="minorHAnsi"/>
          <w:sz w:val="22"/>
        </w:rPr>
        <w:t xml:space="preserve"> also</w:t>
      </w:r>
      <w:r w:rsidRPr="008936B8">
        <w:rPr>
          <w:rFonts w:asciiTheme="minorHAnsi" w:hAnsiTheme="minorHAnsi" w:cstheme="minorHAnsi"/>
          <w:sz w:val="22"/>
        </w:rPr>
        <w:t xml:space="preserve"> has the authority to delegate this responsibility.</w:t>
      </w:r>
    </w:p>
    <w:p w:rsidR="008936B8" w:rsidRPr="00835FF9" w:rsidRDefault="008936B8" w:rsidP="00835FF9">
      <w:pPr>
        <w:pStyle w:val="NoSpacing"/>
      </w:pPr>
    </w:p>
    <w:sectPr w:rsidR="008936B8" w:rsidRPr="00835FF9" w:rsidSect="0056627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2F5" w:rsidRDefault="009772F5" w:rsidP="005E421B">
      <w:r>
        <w:separator/>
      </w:r>
    </w:p>
  </w:endnote>
  <w:endnote w:type="continuationSeparator" w:id="0">
    <w:p w:rsidR="009772F5" w:rsidRDefault="009772F5" w:rsidP="005E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A0E" w:rsidRDefault="00036A0E">
    <w:pPr>
      <w:pStyle w:val="Footer"/>
    </w:pPr>
    <w:r>
      <w:rPr>
        <w:noProof/>
        <w:lang w:eastAsia="ko-KR"/>
      </w:rPr>
      <w:drawing>
        <wp:inline distT="0" distB="0" distL="0" distR="0" wp14:anchorId="29C044BC" wp14:editId="5019A993">
          <wp:extent cx="952500" cy="510540"/>
          <wp:effectExtent l="0" t="0" r="0" b="3810"/>
          <wp:docPr id="7" name="Picture 7" descr="C:\Users\KXM2303\Pictures\HNGlogopu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XM2303\Pictures\HNGlogopu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2F5" w:rsidRDefault="009772F5" w:rsidP="005E421B">
      <w:r>
        <w:separator/>
      </w:r>
    </w:p>
  </w:footnote>
  <w:footnote w:type="continuationSeparator" w:id="0">
    <w:p w:rsidR="009772F5" w:rsidRDefault="009772F5" w:rsidP="005E4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72B" w:rsidRDefault="000A272B" w:rsidP="000A272B">
    <w:pPr>
      <w:pStyle w:val="Header"/>
      <w:jc w:val="center"/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1BEB29C" wp14:editId="7BD6E242">
              <wp:simplePos x="0" y="0"/>
              <wp:positionH relativeFrom="column">
                <wp:posOffset>3645535</wp:posOffset>
              </wp:positionH>
              <wp:positionV relativeFrom="paragraph">
                <wp:posOffset>251460</wp:posOffset>
              </wp:positionV>
              <wp:extent cx="2514600" cy="0"/>
              <wp:effectExtent l="6985" t="13335" r="12065" b="571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4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287.05pt;margin-top:19.8pt;width:198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"/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DB30B23" wp14:editId="58BF4602">
              <wp:simplePos x="0" y="0"/>
              <wp:positionH relativeFrom="column">
                <wp:posOffset>-216535</wp:posOffset>
              </wp:positionH>
              <wp:positionV relativeFrom="paragraph">
                <wp:posOffset>251460</wp:posOffset>
              </wp:positionV>
              <wp:extent cx="2514600" cy="0"/>
              <wp:effectExtent l="12065" t="13335" r="6985" b="5715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4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traight Arrow Connector 5" o:spid="_x0000_s1026" type="#_x0000_t32" style="position:absolute;margin-left:-17.05pt;margin-top:19.8pt;width:198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"/>
          </w:pict>
        </mc:Fallback>
      </mc:AlternateContent>
    </w:r>
    <w:r>
      <w:rPr>
        <w:noProof/>
        <w:lang w:eastAsia="ko-KR"/>
      </w:rPr>
      <w:drawing>
        <wp:inline distT="0" distB="0" distL="0" distR="0" wp14:anchorId="3CEDA427" wp14:editId="03BF3574">
          <wp:extent cx="1318260" cy="510540"/>
          <wp:effectExtent l="0" t="0" r="0" b="3810"/>
          <wp:docPr id="4" name="Picture 4" descr="ChooseWellLiveWell-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hooseWellLiveWell-graph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4CE9"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left:0;text-align:left;margin-left:0;margin-top:0;width:461.85pt;height:197.9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  <w:sdt>
    <w:sdtPr>
      <w:id w:val="450359474"/>
      <w:docPartObj>
        <w:docPartGallery w:val="Watermarks"/>
        <w:docPartUnique/>
      </w:docPartObj>
    </w:sdtPr>
    <w:sdtEndPr/>
    <w:sdtContent>
      <w:p w:rsidR="0085252A" w:rsidRDefault="00904CE9">
        <w:pPr>
          <w:pStyle w:val="Header"/>
        </w:pPr>
        <w:r>
          <w:rPr>
            <w:noProof/>
            <w:lang w:eastAsia="zh-TW"/>
          </w:rPr>
          <w:pict>
            <v:shape id="PowerPlusWaterMarkObject357922611" o:spid="_x0000_s2052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E4EA6"/>
    <w:multiLevelType w:val="hybridMultilevel"/>
    <w:tmpl w:val="51966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31"/>
    <w:rsid w:val="00036A0E"/>
    <w:rsid w:val="000710C0"/>
    <w:rsid w:val="00092725"/>
    <w:rsid w:val="000A272B"/>
    <w:rsid w:val="000A3231"/>
    <w:rsid w:val="001177B4"/>
    <w:rsid w:val="00171103"/>
    <w:rsid w:val="00174E83"/>
    <w:rsid w:val="00175968"/>
    <w:rsid w:val="001842C3"/>
    <w:rsid w:val="00194DE8"/>
    <w:rsid w:val="001A4F68"/>
    <w:rsid w:val="001C489E"/>
    <w:rsid w:val="001F2FEF"/>
    <w:rsid w:val="00215063"/>
    <w:rsid w:val="002455DA"/>
    <w:rsid w:val="0026038A"/>
    <w:rsid w:val="002813DA"/>
    <w:rsid w:val="0028200F"/>
    <w:rsid w:val="002A00D4"/>
    <w:rsid w:val="002D1951"/>
    <w:rsid w:val="003007D0"/>
    <w:rsid w:val="00323EED"/>
    <w:rsid w:val="003240A5"/>
    <w:rsid w:val="0035310B"/>
    <w:rsid w:val="003672BD"/>
    <w:rsid w:val="003B1712"/>
    <w:rsid w:val="003B6D21"/>
    <w:rsid w:val="003E0D1A"/>
    <w:rsid w:val="003F6D69"/>
    <w:rsid w:val="00433528"/>
    <w:rsid w:val="00450134"/>
    <w:rsid w:val="00456657"/>
    <w:rsid w:val="00460FA9"/>
    <w:rsid w:val="004704FB"/>
    <w:rsid w:val="004C0523"/>
    <w:rsid w:val="004C3633"/>
    <w:rsid w:val="004C44BD"/>
    <w:rsid w:val="004F79AF"/>
    <w:rsid w:val="005501B2"/>
    <w:rsid w:val="00551A99"/>
    <w:rsid w:val="00563B65"/>
    <w:rsid w:val="00566271"/>
    <w:rsid w:val="00581731"/>
    <w:rsid w:val="005A48BA"/>
    <w:rsid w:val="005A6120"/>
    <w:rsid w:val="005C3266"/>
    <w:rsid w:val="005C5369"/>
    <w:rsid w:val="005D1AF9"/>
    <w:rsid w:val="005D42F6"/>
    <w:rsid w:val="005E421B"/>
    <w:rsid w:val="00600E86"/>
    <w:rsid w:val="00602D79"/>
    <w:rsid w:val="006072AC"/>
    <w:rsid w:val="006230A2"/>
    <w:rsid w:val="00627775"/>
    <w:rsid w:val="00627F8C"/>
    <w:rsid w:val="00664DAF"/>
    <w:rsid w:val="00667687"/>
    <w:rsid w:val="006821C8"/>
    <w:rsid w:val="006972DD"/>
    <w:rsid w:val="006B0737"/>
    <w:rsid w:val="006D03D3"/>
    <w:rsid w:val="006D23AD"/>
    <w:rsid w:val="006E271B"/>
    <w:rsid w:val="007367B1"/>
    <w:rsid w:val="00750820"/>
    <w:rsid w:val="00775CB9"/>
    <w:rsid w:val="00791CFD"/>
    <w:rsid w:val="007A4B94"/>
    <w:rsid w:val="007A55CA"/>
    <w:rsid w:val="007C19D1"/>
    <w:rsid w:val="007F08FF"/>
    <w:rsid w:val="007F2B30"/>
    <w:rsid w:val="007F3C07"/>
    <w:rsid w:val="00835FF9"/>
    <w:rsid w:val="00836649"/>
    <w:rsid w:val="00846F61"/>
    <w:rsid w:val="008470D7"/>
    <w:rsid w:val="0085252A"/>
    <w:rsid w:val="008658EE"/>
    <w:rsid w:val="00875893"/>
    <w:rsid w:val="00884998"/>
    <w:rsid w:val="008936B8"/>
    <w:rsid w:val="008B56E3"/>
    <w:rsid w:val="008E32B4"/>
    <w:rsid w:val="00904CE9"/>
    <w:rsid w:val="009151FC"/>
    <w:rsid w:val="00917902"/>
    <w:rsid w:val="00924F5A"/>
    <w:rsid w:val="009772F5"/>
    <w:rsid w:val="0098523A"/>
    <w:rsid w:val="009A5A9E"/>
    <w:rsid w:val="009B3BEB"/>
    <w:rsid w:val="009D7965"/>
    <w:rsid w:val="009F7D0F"/>
    <w:rsid w:val="00A23C5A"/>
    <w:rsid w:val="00A40CD0"/>
    <w:rsid w:val="00A40CFE"/>
    <w:rsid w:val="00A56297"/>
    <w:rsid w:val="00A634A9"/>
    <w:rsid w:val="00A66996"/>
    <w:rsid w:val="00AC6F0C"/>
    <w:rsid w:val="00B056AE"/>
    <w:rsid w:val="00B13EE5"/>
    <w:rsid w:val="00B21CE1"/>
    <w:rsid w:val="00B33465"/>
    <w:rsid w:val="00B47753"/>
    <w:rsid w:val="00B734CF"/>
    <w:rsid w:val="00B97146"/>
    <w:rsid w:val="00B97BFB"/>
    <w:rsid w:val="00BA1348"/>
    <w:rsid w:val="00BA253F"/>
    <w:rsid w:val="00BB04CA"/>
    <w:rsid w:val="00BC1E5D"/>
    <w:rsid w:val="00BE0480"/>
    <w:rsid w:val="00BE18B2"/>
    <w:rsid w:val="00C0349F"/>
    <w:rsid w:val="00C259D5"/>
    <w:rsid w:val="00C6128D"/>
    <w:rsid w:val="00C74C82"/>
    <w:rsid w:val="00C75961"/>
    <w:rsid w:val="00CB30A2"/>
    <w:rsid w:val="00D315BF"/>
    <w:rsid w:val="00D3217E"/>
    <w:rsid w:val="00D63FD9"/>
    <w:rsid w:val="00DC414E"/>
    <w:rsid w:val="00E248C7"/>
    <w:rsid w:val="00E72CE4"/>
    <w:rsid w:val="00E90709"/>
    <w:rsid w:val="00ED0DC6"/>
    <w:rsid w:val="00ED1218"/>
    <w:rsid w:val="00F01D2F"/>
    <w:rsid w:val="00F603F8"/>
    <w:rsid w:val="00F86E31"/>
    <w:rsid w:val="00FA2D42"/>
    <w:rsid w:val="00FB7584"/>
    <w:rsid w:val="00FC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6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Rmn 12pt" w:eastAsia="Times New Roman" w:hAnsi="TmsRm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2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E421B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E421B"/>
  </w:style>
  <w:style w:type="paragraph" w:styleId="Footer">
    <w:name w:val="footer"/>
    <w:basedOn w:val="Normal"/>
    <w:link w:val="FooterChar"/>
    <w:uiPriority w:val="99"/>
    <w:unhideWhenUsed/>
    <w:rsid w:val="005E421B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E421B"/>
  </w:style>
  <w:style w:type="paragraph" w:styleId="BalloonText">
    <w:name w:val="Balloon Text"/>
    <w:basedOn w:val="Normal"/>
    <w:link w:val="BalloonTextChar"/>
    <w:uiPriority w:val="99"/>
    <w:semiHidden/>
    <w:unhideWhenUsed/>
    <w:rsid w:val="005E42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21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B30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0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0A2"/>
    <w:rPr>
      <w:rFonts w:ascii="TmsRmn 12pt" w:eastAsia="Times New Roman" w:hAnsi="TmsRmn 12p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0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0A2"/>
    <w:rPr>
      <w:rFonts w:ascii="TmsRmn 12pt" w:eastAsia="Times New Roman" w:hAnsi="TmsRmn 12pt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17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6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Rmn 12pt" w:eastAsia="Times New Roman" w:hAnsi="TmsRm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2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E421B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E421B"/>
  </w:style>
  <w:style w:type="paragraph" w:styleId="Footer">
    <w:name w:val="footer"/>
    <w:basedOn w:val="Normal"/>
    <w:link w:val="FooterChar"/>
    <w:uiPriority w:val="99"/>
    <w:unhideWhenUsed/>
    <w:rsid w:val="005E421B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E421B"/>
  </w:style>
  <w:style w:type="paragraph" w:styleId="BalloonText">
    <w:name w:val="Balloon Text"/>
    <w:basedOn w:val="Normal"/>
    <w:link w:val="BalloonTextChar"/>
    <w:uiPriority w:val="99"/>
    <w:semiHidden/>
    <w:unhideWhenUsed/>
    <w:rsid w:val="005E42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21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B30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0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0A2"/>
    <w:rPr>
      <w:rFonts w:ascii="TmsRmn 12pt" w:eastAsia="Times New Roman" w:hAnsi="TmsRmn 12p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0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0A2"/>
    <w:rPr>
      <w:rFonts w:ascii="TmsRmn 12pt" w:eastAsia="Times New Roman" w:hAnsi="TmsRmn 12pt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17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oh.wa.gov/choosewell-livewel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66F36-FE23-49A7-9E02-B2EE7EA2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Policy for Institutions</dc:title>
  <dc:subject>Sample language for institutions to use when implementing the Healthy Nutrition Guidelines</dc:subject>
  <dc:creator>Washington State Department of Health</dc:creator>
  <cp:lastModifiedBy>Image</cp:lastModifiedBy>
  <cp:revision>11</cp:revision>
  <dcterms:created xsi:type="dcterms:W3CDTF">2014-02-14T18:23:00Z</dcterms:created>
  <dcterms:modified xsi:type="dcterms:W3CDTF">2014-02-27T21:54:00Z</dcterms:modified>
</cp:coreProperties>
</file>